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E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«Дворец детского (юношеского) творчества»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Пензы </w:t>
      </w: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 год</w:t>
      </w: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2018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 учреждения</w:t>
      </w:r>
    </w:p>
    <w:p w:rsidR="00120816" w:rsidRPr="00D51A44" w:rsidRDefault="00120816" w:rsidP="00120816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Муниципальное бюджетное образовательное учреждение дополнительного образования  «Дворец детского (юношеского) творчества»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. Пензы осуществляет  образовательную  деятельность  по  реализации  дополнительных общеобразовательных  программ различной направленности.</w:t>
      </w:r>
    </w:p>
    <w:p w:rsidR="00120816" w:rsidRPr="00D51A44" w:rsidRDefault="00120816" w:rsidP="00120816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П</w:t>
      </w: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 на ведение образовательной деятельности Учреждение  имеет в соответствии с лицензией, выданной Министерством образования Пензенской области</w:t>
      </w:r>
      <w:r w:rsidRPr="00D51A44">
        <w:rPr>
          <w:rFonts w:ascii="Times New Roman" w:hAnsi="Times New Roman" w:cs="Times New Roman"/>
          <w:sz w:val="26"/>
          <w:szCs w:val="26"/>
        </w:rPr>
        <w:t xml:space="preserve"> 11 марта 2016 г.,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. № 11822, </w:t>
      </w: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 58 Л01 № 0000637   (срок действия лицензии бессрочно).</w:t>
      </w:r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816" w:rsidRPr="00D51A44" w:rsidRDefault="00120816" w:rsidP="00120816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По своему статусу Учреждение является: </w:t>
      </w:r>
    </w:p>
    <w:p w:rsidR="00120816" w:rsidRPr="00D51A44" w:rsidRDefault="00120816" w:rsidP="00120816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тип – организация дополнительного образования; </w:t>
      </w:r>
    </w:p>
    <w:p w:rsidR="00120816" w:rsidRPr="00D51A44" w:rsidRDefault="00120816" w:rsidP="00120816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организационно-правовая  форма  –  муниципальное  бюджетное  образовательное учреждение.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Учреждения: г. Пенза, ул. 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Бекешская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14.;  ул. Островского, д. 9; ул. Лесозащитная, д.1а.</w:t>
      </w:r>
      <w:proofErr w:type="gramEnd"/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Учреждения: 440018, г. Пенза, ул. 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Бекешская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д.14.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 Учреждения: 440018, г. Пенза, ул. 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Бекешская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д.14, телефон (8412) 42-88-31 ,факс: (8412) 42-89-50</w:t>
      </w:r>
    </w:p>
    <w:p w:rsidR="00120816" w:rsidRPr="00120816" w:rsidRDefault="00120816" w:rsidP="0012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208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E-mail: dvorec-tvorchestva@yandex.ru, </w:t>
      </w: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1208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http://ddut-penza.ru/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Учредителем образовательного учреждения является муниципальное образование  - город Пенза.</w:t>
      </w:r>
    </w:p>
    <w:p w:rsidR="00120816" w:rsidRPr="00D51A44" w:rsidRDefault="00120816" w:rsidP="001208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Основные цели деятельности Учреждения:</w:t>
      </w:r>
    </w:p>
    <w:p w:rsidR="00120816" w:rsidRPr="00D51A44" w:rsidRDefault="00120816" w:rsidP="00120816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осуществление  образовательной  деятельности  по  дополнительным общеобразовательным программам;</w:t>
      </w:r>
    </w:p>
    <w:p w:rsidR="00120816" w:rsidRPr="00D51A44" w:rsidRDefault="00120816" w:rsidP="00120816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выявление  и  поддержка  обучающихся,  проявивших  выдающиеся  способности,  а также  обучающихся,  добившихся  успехов  в  учебной  деятельности,  научной  (научно-исследовательской)  деятельности,  творческой  деятельности  и  физкультурно-спортивной деятельности;</w:t>
      </w:r>
    </w:p>
    <w:p w:rsidR="00120816" w:rsidRPr="00D51A44" w:rsidRDefault="00120816" w:rsidP="00120816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укрепление здоровья и формирование здорового образа жизни детей и взрослых;</w:t>
      </w:r>
    </w:p>
    <w:p w:rsidR="00120816" w:rsidRPr="00D51A44" w:rsidRDefault="00120816" w:rsidP="00120816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развитие  содержания  и  организации  муниципальной  системы  дополнительного образования детей;</w:t>
      </w:r>
    </w:p>
    <w:p w:rsidR="00120816" w:rsidRPr="00D51A44" w:rsidRDefault="00120816" w:rsidP="00120816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удовлетворение  иных  образовательных  потребностей  обучающихся  и  интересов общества, не противоречащих законодательству РФ.</w:t>
      </w:r>
    </w:p>
    <w:p w:rsidR="00120816" w:rsidRPr="00D51A44" w:rsidRDefault="00120816" w:rsidP="001208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Дворец детского (юношеского) творчества – одно из старейших учреждений дополнительного образования детей в России, основано в 1936 году.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2017 году деятельность коллектива была направлена на достойную встречу 30-летия нашего учреждения (Дворец детского (юношеского) творчества, 1987 год) и реализацию мероприятий, посвященных Году экологии в России. </w:t>
      </w:r>
    </w:p>
    <w:p w:rsidR="00120816" w:rsidRPr="00D51A44" w:rsidRDefault="00120816" w:rsidP="001208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Педагогическим коллективом успешно решались задачи повышения качества образовательного процесса и профессионального мастерства педагогических работников, активизации деятельности педагогического коллектива с родителями  учащихся, совершенствования инфраструктуры зданий и территорий 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Ю)Т.</w:t>
      </w:r>
    </w:p>
    <w:p w:rsidR="00120816" w:rsidRPr="00D51A44" w:rsidRDefault="00120816" w:rsidP="001208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Реализации поставленных целей и задач способствовала плодотворная работа органов самоуправления Дворца. </w:t>
      </w:r>
    </w:p>
    <w:p w:rsidR="00120816" w:rsidRPr="00D51A44" w:rsidRDefault="00120816" w:rsidP="001208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Управление Учреждением основано на принципах демократичности, приоритета общечеловеческих ценностей, охраны жизни и здоровья человека,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 xml:space="preserve">свободного развития личности, единоначалия и самоуправления. Непосредственное руководство осуществляет администрация в лице директора и пяти его заместителей. Коллегиальными органами управления Учреждением  являются: Общее собрание трудового коллектива,  Педагогический совет, Управляющий совет. </w:t>
      </w:r>
    </w:p>
    <w:p w:rsidR="00120816" w:rsidRPr="00D51A44" w:rsidRDefault="00120816" w:rsidP="001208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Общее собрание трудового коллектива принимает коллективный договор, Устав Учреждения и представляет их на утверждение. Педагогический совет 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Ю)Т утверждает учебные планы и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программы, определяет основные направления педагогической деятельности, организует работу по повышению квалификации педагогических работников, по распространению передового опыта. Управляющий совет участвует в утверждении и реализации программы развития Учреждения. </w:t>
      </w:r>
    </w:p>
    <w:p w:rsidR="00120816" w:rsidRPr="00D51A44" w:rsidRDefault="00120816" w:rsidP="001208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 2017 году Дворец детского (юношеского) творчества признан победителем Открытого публичного Всероссийского смотра-конкурса образовательных организаций, в номинации «300 лучших учреждений дополнительного образования».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Default="00120816" w:rsidP="0012081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Особенности образовательного процесса</w:t>
      </w:r>
    </w:p>
    <w:p w:rsidR="00120816" w:rsidRPr="00D51A44" w:rsidRDefault="00120816" w:rsidP="0012081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Во Дворце детского (юношеского) творчества сложилась организационная структура, включающая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51A44">
        <w:rPr>
          <w:rFonts w:ascii="Times New Roman" w:hAnsi="Times New Roman" w:cs="Times New Roman"/>
          <w:sz w:val="26"/>
          <w:szCs w:val="26"/>
        </w:rPr>
        <w:t xml:space="preserve"> структурных подразделений: </w:t>
      </w:r>
    </w:p>
    <w:p w:rsidR="00120816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служба;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отдел социально-педагогической работы и туризма;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отдел художественного творчества;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отдел декоративно-прикладного творчества;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отдел творческого развития дошкольников;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отдел физкультурно-спортивной работы;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отдел естественнонаучного и технического творчества;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методический центр;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муниципальный центр военно-патриотического воспитания и подготовки молодежи к военной службе;</w:t>
      </w:r>
    </w:p>
    <w:p w:rsidR="00120816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центр творческих инициатив;</w:t>
      </w:r>
    </w:p>
    <w:p w:rsidR="00120816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бухгалтерская служба;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техническая, хозяйственная служба;</w:t>
      </w:r>
    </w:p>
    <w:p w:rsidR="00120816" w:rsidRPr="00D51A44" w:rsidRDefault="00120816" w:rsidP="0012081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ДОЛ «Орленок».</w:t>
      </w:r>
    </w:p>
    <w:p w:rsidR="00120816" w:rsidRPr="004425E7" w:rsidRDefault="00120816" w:rsidP="00120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процесс Д</w:t>
      </w:r>
      <w:proofErr w:type="gram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Д(</w:t>
      </w:r>
      <w:proofErr w:type="gram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Ю)Т организуется в соответствии с учебным планом, годовым календарным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 </w:t>
      </w: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графиком и расписанием занятий детских объединени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Численность учащихся по реализуемым дополнительным общеобразовательным программам в 2017  году за счёт бюджетных ассигнований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составила </w:t>
      </w: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4970  человек. Количество учебных групп – 335.</w:t>
      </w:r>
    </w:p>
    <w:tbl>
      <w:tblPr>
        <w:tblStyle w:val="a3"/>
        <w:tblpPr w:leftFromText="180" w:rightFromText="180" w:vertAnchor="text" w:horzAnchor="margin" w:tblpY="412"/>
        <w:tblW w:w="0" w:type="auto"/>
        <w:tblLook w:val="04A0"/>
      </w:tblPr>
      <w:tblGrid>
        <w:gridCol w:w="4928"/>
        <w:gridCol w:w="4643"/>
      </w:tblGrid>
      <w:tr w:rsidR="00120816" w:rsidRPr="00D51A44" w:rsidTr="000429AF">
        <w:trPr>
          <w:trHeight w:val="132"/>
        </w:trPr>
        <w:tc>
          <w:tcPr>
            <w:tcW w:w="4928" w:type="dxa"/>
          </w:tcPr>
          <w:p w:rsidR="00120816" w:rsidRPr="00D51A44" w:rsidRDefault="00120816" w:rsidP="000429A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социально-педагогической</w:t>
            </w:r>
            <w:proofErr w:type="gramEnd"/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20816" w:rsidRPr="00D51A44" w:rsidRDefault="00120816" w:rsidP="000429A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туризма</w:t>
            </w:r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работа с детьми с ОВЗ и детьми – инвалидами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военно-патриотическое воспитание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историческая реконструкция 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логопедия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иностранный язык для малышей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этикет </w:t>
            </w:r>
          </w:p>
          <w:p w:rsidR="00120816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лидерство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туризм</w:t>
            </w:r>
          </w:p>
        </w:tc>
        <w:tc>
          <w:tcPr>
            <w:tcW w:w="4643" w:type="dxa"/>
          </w:tcPr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Отдел творческого развития дошкольников: 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раннее развитие дошкольников</w:t>
            </w:r>
          </w:p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816" w:rsidRPr="00D51A44" w:rsidTr="000429AF">
        <w:trPr>
          <w:trHeight w:val="3375"/>
        </w:trPr>
        <w:tc>
          <w:tcPr>
            <w:tcW w:w="4928" w:type="dxa"/>
          </w:tcPr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Отдел художественного творчества: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хореография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вокал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театр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цирковое искусство 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фольклор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инструментальная музыка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физкультурно-спортивной работы</w:t>
            </w:r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единоборства 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тяжелая атлетика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гимнастика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спортивные танцы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аэробика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футбол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шахматы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настольный теннис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стрельба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дзюдо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стрельба из лука</w:t>
            </w:r>
          </w:p>
        </w:tc>
      </w:tr>
      <w:tr w:rsidR="00120816" w:rsidRPr="00D51A44" w:rsidTr="000429AF">
        <w:tc>
          <w:tcPr>
            <w:tcW w:w="4928" w:type="dxa"/>
          </w:tcPr>
          <w:p w:rsidR="00120816" w:rsidRPr="00D51A44" w:rsidRDefault="00120816" w:rsidP="000429AF">
            <w:pPr>
              <w:tabs>
                <w:tab w:val="left" w:pos="132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Отдел естественнонаучного и технического творчества: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программирование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робототехника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авиамоделирование</w:t>
            </w:r>
            <w:proofErr w:type="spellEnd"/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радиотехника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картинг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биология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экология</w:t>
            </w:r>
          </w:p>
        </w:tc>
        <w:tc>
          <w:tcPr>
            <w:tcW w:w="4643" w:type="dxa"/>
          </w:tcPr>
          <w:p w:rsidR="00120816" w:rsidRPr="004425E7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Отдел декоративно-прикладного творчества: 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прикладное творчество</w:t>
            </w:r>
          </w:p>
          <w:p w:rsidR="00120816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изобразительное искусство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театр моды</w:t>
            </w:r>
          </w:p>
          <w:p w:rsidR="00120816" w:rsidRPr="00D51A44" w:rsidRDefault="00120816" w:rsidP="000429A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816" w:rsidRPr="00D51A44" w:rsidRDefault="00120816" w:rsidP="00120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816" w:rsidRPr="00D51A44" w:rsidRDefault="00120816" w:rsidP="0012081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Во Дворце работают 5 творческих коллективов, которые имеют звание «Образцовый детский коллектив»:</w:t>
      </w:r>
    </w:p>
    <w:p w:rsidR="00120816" w:rsidRPr="00D51A44" w:rsidRDefault="00120816" w:rsidP="0012081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фольклорный коллектив «Росиночка» (руководитель Шутова Н.Д.);</w:t>
      </w:r>
    </w:p>
    <w:p w:rsidR="00120816" w:rsidRPr="00D51A44" w:rsidRDefault="00120816" w:rsidP="0012081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детский театральный коллектив «Зеркальце» (руководитель 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Лисач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С.Г.);</w:t>
      </w:r>
    </w:p>
    <w:p w:rsidR="00120816" w:rsidRPr="00D51A44" w:rsidRDefault="00120816" w:rsidP="0012081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ансамбль танца «Веснушки» (руководитель Крюкова И.К.);</w:t>
      </w:r>
    </w:p>
    <w:p w:rsidR="00120816" w:rsidRPr="00D51A44" w:rsidRDefault="00120816" w:rsidP="0012081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театр кукол «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Тутти-фрутти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(руководитель 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Турукина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Е.Л.);</w:t>
      </w:r>
    </w:p>
    <w:p w:rsidR="00120816" w:rsidRPr="00D51A44" w:rsidRDefault="00120816" w:rsidP="0012081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арт-студия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Очаровашки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» (руководитель Назаров В.В., Назарова М.В.).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2017 учебном году во Дворце были открыты новые детские объединения: театр танца «Ласточка»,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логостудия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«Галчонок», объединения «Стрельба из лука», «Я и мир» (для детей в ОВЗ).</w:t>
      </w:r>
    </w:p>
    <w:p w:rsidR="00120816" w:rsidRPr="00D51A44" w:rsidRDefault="00120816" w:rsidP="001208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Распределение детских объединений, количество педагогов, учащихся по отделам (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. приложение 1).</w:t>
      </w:r>
    </w:p>
    <w:p w:rsidR="00120816" w:rsidRPr="00D51A44" w:rsidRDefault="00120816" w:rsidP="001208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Состав контингента учащихся (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. приложение 2). </w:t>
      </w:r>
    </w:p>
    <w:p w:rsidR="00120816" w:rsidRPr="00D51A44" w:rsidRDefault="00120816" w:rsidP="0012081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Сохранность контингента (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. приложение 3).</w:t>
      </w:r>
    </w:p>
    <w:p w:rsidR="00120816" w:rsidRPr="00D51A44" w:rsidRDefault="00120816" w:rsidP="001208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Деятельность в рамках стажерских площадок</w:t>
      </w:r>
    </w:p>
    <w:p w:rsidR="00120816" w:rsidRPr="00D51A44" w:rsidRDefault="00120816" w:rsidP="00120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2017 году на базе учреждения была организована  работа областной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площадки ГАОУДПО «Институт регионального развития Пензенской области» по реализации дополнительных профессиональных программ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>(повышения квалификации) для педагогических и руководящих работников системы образования «Обновление содержания воспитания и дополнительного образования в условиях реализации ФГОС».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10 февраля 2017 г. участники областной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площадки посетили открытые занятия и мастер-классы педагогов Дворца: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Солуданов А.Ю. Мастер-класс «Применение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кейсового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метода обучения на занятиях ВПК «Гвардия»;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Арзамасцев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К.Н. Открытое занятие в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/о «Стрелок»;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Розенберг Т.В. Открытое занятие в ансамбле танца «Веснушки».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7 апреля 2017 г. были проведены: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деловая игра «Педсовет» по теме «Введение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профстандартов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 системе дополнительного образования»;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мастер-класс «Коррекционное занятие «Круг» для детей с нарушениями поведения» (Уразова Е.А.);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круглый стол «Опыт 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Ю)Т в вопросах и ответах»;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открытое занятие в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/о «Подсолнух» (Серова Л.Ю.);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открытое занятие по курсу «Тактическая медицина» в ВПО «Вымпел» (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Старшев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В.Л.).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26 октября 2017 г. были представлены: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мастер-класс «Работа со словом» (Кравцова М.И.);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открытое занятие в театре танца «Ласточка» (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Гебель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Ю.В.);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открытое занятие в ВПК «Гвардия» (Дегтярев А.А.).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С 2017 года совместно с Центром дополнительного образования, искусства и физической культуры ИРР Пензенской области Дворец детского (юношеского) творчества проводит педагогические салоны, являющиеся площадкой для демонстрации творческих находок педагогов дополнительного образования.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Так, 22 ноября 2017 года в рамках педагогического салона «Галерея педагогического опыта» были представлены: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открытое занятие по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зоотерапии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для детей с ОВЗ (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Калинникова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С.Н.);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мастер-классы по декоративно-прикладному творчеству (Шишкина Т.А., Сергеева С.А.,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Кальманова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А.М.);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презентация системы работы с родителями учащихся «Мы – вместе!» (Боков А.М., Гончарова Е.С., Светкина С.А., Битюцкая Р.Н.);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Посвящение в картингисты (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Анискин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А.Ф.,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Анискин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С.А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 xml:space="preserve">,, 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Хмелевский О.В.).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Методист Антипова Л.В. в 2017 году стала экспертом областного, а методисты Дурашова Т.В., Рогачкова Л.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экспертных советов по анализу и экспертизе содержания программ, планируемых к реализации в организациях отдыха детей и их оздоровления.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2015 года</w:t>
      </w:r>
      <w:r w:rsidRPr="00D51A44">
        <w:rPr>
          <w:rFonts w:ascii="Times New Roman" w:hAnsi="Times New Roman" w:cs="Times New Roman"/>
          <w:sz w:val="26"/>
          <w:szCs w:val="26"/>
        </w:rPr>
        <w:t xml:space="preserve"> во Дворце функционирует муниципальный ресурсный центр патриотического воспитания и подготовки молодежи к военной службе.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Успешно реализуется программа «Есть встать в строй!». За 2017 год прошли профильную подготовку и призваны в одну часть для прохождения военной службы в войсках специального назначения 19 учащихся образовательных организаций города, что составило около 30% от общего призыва в данную часть.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С февраля месяца осуществляется профильная подготовка учащихся к поступлению в военный учебный центр ПГУ. Реализация данных программ действий стала возможной благодаря организации сетевого взаимодействия </w:t>
      </w: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Д(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Ю)Т с </w:t>
      </w:r>
      <w:r w:rsidRPr="00D51A44">
        <w:rPr>
          <w:rFonts w:ascii="Times New Roman" w:hAnsi="Times New Roman" w:cs="Times New Roman"/>
          <w:sz w:val="26"/>
          <w:szCs w:val="26"/>
        </w:rPr>
        <w:t>областн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51A44">
        <w:rPr>
          <w:rFonts w:ascii="Times New Roman" w:hAnsi="Times New Roman" w:cs="Times New Roman"/>
          <w:sz w:val="26"/>
          <w:szCs w:val="26"/>
        </w:rPr>
        <w:t xml:space="preserve"> военн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51A44">
        <w:rPr>
          <w:rFonts w:ascii="Times New Roman" w:hAnsi="Times New Roman" w:cs="Times New Roman"/>
          <w:sz w:val="26"/>
          <w:szCs w:val="26"/>
        </w:rPr>
        <w:t xml:space="preserve"> комиссариат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51A44">
        <w:rPr>
          <w:rFonts w:ascii="Times New Roman" w:hAnsi="Times New Roman" w:cs="Times New Roman"/>
          <w:sz w:val="26"/>
          <w:szCs w:val="26"/>
        </w:rPr>
        <w:t>, ДОСААФ России, заинтересованн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D51A44">
        <w:rPr>
          <w:rFonts w:ascii="Times New Roman" w:hAnsi="Times New Roman" w:cs="Times New Roman"/>
          <w:sz w:val="26"/>
          <w:szCs w:val="26"/>
        </w:rPr>
        <w:t xml:space="preserve"> ветерански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51A4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D51A44">
        <w:rPr>
          <w:rFonts w:ascii="Times New Roman" w:hAnsi="Times New Roman" w:cs="Times New Roman"/>
          <w:sz w:val="26"/>
          <w:szCs w:val="26"/>
        </w:rPr>
        <w:t>, Институт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51A44">
        <w:rPr>
          <w:rFonts w:ascii="Times New Roman" w:hAnsi="Times New Roman" w:cs="Times New Roman"/>
          <w:sz w:val="26"/>
          <w:szCs w:val="26"/>
        </w:rPr>
        <w:t xml:space="preserve"> военного обучения ПГУ.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Двое учащихся объединения «Вымпел» стали дипломантами Всероссийского конкурса профессионального мастерства «Делай, как я!» и получили приглашение в Кремль для вручения дипломов; команда Центра успешно представила Пензенскую область на Всероссийской военно-спортивной игре «Орленок», заняв 3 общекомандное место из 84 регионов-участников.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На базе Центра получило развитие и юнармейское движение. В настоящее время юнармейские отряды сформированы на базе ВПО «Вымпел», средних школ № 19, 36, 60, 8 города Пензы. Впервые юнармейцы города в 2017 году приняли участие во Всеармейских военных играх «Арми-2017» в рамках проводимого в Пензенской области этапа «Мастер-оружейник».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Инструкторы ВПО «Вымпел»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Старшева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С. И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Некрутов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А. приняли участие в семинаре для вожатых оборонно-спортивных лагерей в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. Москве. </w:t>
      </w:r>
    </w:p>
    <w:p w:rsidR="00120816" w:rsidRPr="00D51A44" w:rsidRDefault="00120816" w:rsidP="001208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Программное обеспечение образовательного процесса.</w:t>
      </w:r>
    </w:p>
    <w:p w:rsidR="00120816" w:rsidRPr="00D51A44" w:rsidRDefault="00120816" w:rsidP="00120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Результаты промежуточной аттестации учащихся</w:t>
      </w:r>
    </w:p>
    <w:p w:rsidR="00120816" w:rsidRPr="00D51A44" w:rsidRDefault="00120816" w:rsidP="00120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Во Дворце творчества  разработаны дополнительные 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программы, определяющие  цели,  содержание  и  методы  реализации  процесса  обучения  и воспитания. Ежегодно программы  обновляются  с  учетом  развития  науки,  культуры, экономики, техники, технологий и социальной сферы. 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На основании социального заказа родителей, интересов и потребностей детей и в соответствии с лицензией образовательный процесс в 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учереждении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ествляется по</w:t>
      </w: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  общеобразовательным программам 6 направленностей: 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художественной; 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</w:t>
      </w:r>
      <w:proofErr w:type="spell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туристск</w:t>
      </w:r>
      <w:proofErr w:type="gramStart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краеведческой; 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технической;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физкультурно-спортивной;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социально-педагогической;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естественнонаучной.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Образовательный процесс 2017 году обеспечивали 78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программ, из которых 12 – авторские программы, 5 - экспериментальные, </w:t>
      </w:r>
      <w:bookmarkStart w:id="0" w:name="_GoBack"/>
      <w:bookmarkEnd w:id="0"/>
      <w:r w:rsidRPr="00D51A44">
        <w:rPr>
          <w:rFonts w:ascii="Times New Roman" w:hAnsi="Times New Roman" w:cs="Times New Roman"/>
          <w:sz w:val="26"/>
          <w:szCs w:val="26"/>
        </w:rPr>
        <w:t>61 – модифицированные.  По формам организации содержания - 15  программ комплексные, 5 – модульные, 58 – однопрофильные.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51A44">
        <w:rPr>
          <w:rFonts w:ascii="Times New Roman" w:hAnsi="Times New Roman" w:cs="Times New Roman"/>
          <w:sz w:val="26"/>
          <w:szCs w:val="26"/>
        </w:rPr>
        <w:t xml:space="preserve"> программ адаптированы для </w:t>
      </w:r>
      <w:r>
        <w:rPr>
          <w:rFonts w:ascii="Times New Roman" w:hAnsi="Times New Roman" w:cs="Times New Roman"/>
          <w:sz w:val="26"/>
          <w:szCs w:val="26"/>
        </w:rPr>
        <w:t>работы с детьми с ОВЗ (из них 12 – дистанционного обучения)</w:t>
      </w:r>
      <w:r w:rsidRPr="00D51A44">
        <w:rPr>
          <w:rFonts w:ascii="Times New Roman" w:hAnsi="Times New Roman" w:cs="Times New Roman"/>
          <w:sz w:val="26"/>
          <w:szCs w:val="26"/>
        </w:rPr>
        <w:t xml:space="preserve"> и 19 программ созданы для организации платных образовательных услуг (приложение 4).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Диагностика результативности освоения  программы  включает  обоснование  и  содержательную  характеристику методов  оценки  личностных  достижений  обучающихся  по  каждому  из  видов программ,  методы  оценки  социально-педагогических  результатов  освоения программы. Для выявления уровня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учащихся проводится диагностика уровня  знаний,  умений,  навыков в  середине учебного  года  (на  15  января)  и  в  конце  учебного  года  (на  15  мая). 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 xml:space="preserve">Формы проведения  аттестации  учащихся:  собеседование,  анкетирование,    тестирование, участие  в  конкурсах,  выставках,  фестивалях,  концертах,  показательных выступлениях и другие. </w:t>
      </w:r>
      <w:proofErr w:type="gramEnd"/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lastRenderedPageBreak/>
        <w:t>Традиционно в апреле-мае проходят отчетные концерты творческих коллективов. Самыми яркими по форме представления были у ансамбля танца «Веснушки», танцевального коллектива «Подсолнух», вокальной студии «Контраст», эстрадно-цирковой студии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Амигоро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», объединения «Театр Моды Ольги Букиной» и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Арт-студии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Очаровашки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».  Театральная студия «Зеркальце» представили новые постановки в трех возрастных группах: младшая группа спектакль «Без обид», средняя группа «Вечно эта 345»и старшая группа спектакль «Шаги».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отделе спортивно-оздоровительной работы и туризма среди отчетных мероприятий можно выделить традиционные соревнования по армрестлингу среди подростков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. Пензы, посвященные памяти М. Кравченко. Вырос  уровень мастерства учащихся спортивно-танцевального клуба «Грааль». Великолепное шоу-представление  продемонстрировали  учащиеся  от    6  до  18  лет.  Красочные, ритмичные  уличные  танцы,  композиции 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хип-хоп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 вызывает  восторг  зрителей  и бурные овации.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Клуб «Картинг» завершил учебный год результативным участием в традиционном Чемпионате Республики Мордовия по картингу, учащиеся детского объединения «Радиотехника и дети» - в областных соревнованиях по сборке радиоэлектронных устройств. 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мае 2017 года учащимся, завершившим обучение по дополнительным общеобразовательным программам, было выдано 127 свидетельств установленного образца (в 2013 – 2014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оду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– 10, в 2014-2015 – 78, в 2015-2016 – 113).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Фактическая численность учащихся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2016-2017 </w:t>
      </w:r>
      <w:r w:rsidRPr="00D51A44">
        <w:rPr>
          <w:rFonts w:ascii="Times New Roman" w:hAnsi="Times New Roman" w:cs="Times New Roman"/>
          <w:sz w:val="26"/>
          <w:szCs w:val="26"/>
        </w:rPr>
        <w:t>учебного года составила 4936 чел. Из них прошли промежуточную и итоговую аттестацию 4878 чел., не прошли – 58 чел. (Приложение 5).</w:t>
      </w:r>
    </w:p>
    <w:p w:rsidR="00120816" w:rsidRPr="00D51A44" w:rsidRDefault="00120816" w:rsidP="001208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Коррекционно-развивающая деятельность с детьми с ограниченными возможностями здоровья</w:t>
      </w:r>
    </w:p>
    <w:p w:rsidR="00120816" w:rsidRPr="00D51A44" w:rsidRDefault="00120816" w:rsidP="00120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Во Дворце творчества в 2017 году  занимались 247 учащихся с ограниченными возможностями здоровья. Для детей с ОВЗ предусмотрены разные формы обучения: очные и заочные в форме дистанционного обучения. 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Учащиеся с ОВЗ занимались в детских объединениях: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3119"/>
      </w:tblGrid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center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1A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1A44">
              <w:rPr>
                <w:sz w:val="26"/>
                <w:szCs w:val="26"/>
              </w:rPr>
              <w:t>/</w:t>
            </w:r>
            <w:proofErr w:type="spellStart"/>
            <w:r w:rsidRPr="00D51A4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center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Наименования объединения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center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Ф.И.О. педагога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Клуб «Равновесие»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Симонова О.В.</w:t>
            </w:r>
          </w:p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Зуденкова</w:t>
            </w:r>
            <w:proofErr w:type="spellEnd"/>
            <w:r w:rsidRPr="00D51A44">
              <w:rPr>
                <w:sz w:val="26"/>
                <w:szCs w:val="26"/>
              </w:rPr>
              <w:t xml:space="preserve"> Т.Г.</w:t>
            </w:r>
          </w:p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Уразова Е.А.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«Творческая мастерская»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Симонова О.В.</w:t>
            </w:r>
          </w:p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Зуденкова</w:t>
            </w:r>
            <w:proofErr w:type="spellEnd"/>
            <w:r w:rsidRPr="00D51A44">
              <w:rPr>
                <w:sz w:val="26"/>
                <w:szCs w:val="26"/>
              </w:rPr>
              <w:t xml:space="preserve"> Т.Г.</w:t>
            </w:r>
          </w:p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Уразова Е.А.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«Я и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Симонова О.В.</w:t>
            </w:r>
          </w:p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Зуденкова</w:t>
            </w:r>
            <w:proofErr w:type="spellEnd"/>
            <w:r w:rsidRPr="00D51A44">
              <w:rPr>
                <w:sz w:val="26"/>
                <w:szCs w:val="26"/>
              </w:rPr>
              <w:t xml:space="preserve"> Т.Г.</w:t>
            </w:r>
          </w:p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Уразова Е.А.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Студия игры на гитаре  «Гитара-хобби»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Арзамасцев</w:t>
            </w:r>
            <w:proofErr w:type="spellEnd"/>
            <w:r w:rsidRPr="00D51A44">
              <w:rPr>
                <w:sz w:val="26"/>
                <w:szCs w:val="26"/>
              </w:rPr>
              <w:t xml:space="preserve"> С.В.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Вокальная студия «Контраст»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Салмина</w:t>
            </w:r>
            <w:proofErr w:type="spellEnd"/>
            <w:r w:rsidRPr="00D51A44">
              <w:rPr>
                <w:sz w:val="26"/>
                <w:szCs w:val="26"/>
              </w:rPr>
              <w:t xml:space="preserve"> О.В.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Арт-студия</w:t>
            </w:r>
            <w:proofErr w:type="spellEnd"/>
            <w:r w:rsidRPr="00D51A44">
              <w:rPr>
                <w:sz w:val="26"/>
                <w:szCs w:val="26"/>
              </w:rPr>
              <w:t xml:space="preserve"> «</w:t>
            </w:r>
            <w:proofErr w:type="spellStart"/>
            <w:r w:rsidRPr="00D51A44">
              <w:rPr>
                <w:sz w:val="26"/>
                <w:szCs w:val="26"/>
              </w:rPr>
              <w:t>Очаровашки</w:t>
            </w:r>
            <w:proofErr w:type="spellEnd"/>
            <w:r w:rsidRPr="00D51A44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Назаров В.В., Назарова М.В.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Детское объединение «Шахматы»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Маскинский</w:t>
            </w:r>
            <w:proofErr w:type="spellEnd"/>
            <w:r w:rsidRPr="00D51A44">
              <w:rPr>
                <w:sz w:val="26"/>
                <w:szCs w:val="26"/>
              </w:rPr>
              <w:t xml:space="preserve">  А.В.     </w:t>
            </w:r>
          </w:p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 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«Оздоровительная верховая езда»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Калинникова</w:t>
            </w:r>
            <w:proofErr w:type="spellEnd"/>
            <w:r w:rsidRPr="00D51A44">
              <w:rPr>
                <w:sz w:val="26"/>
                <w:szCs w:val="26"/>
              </w:rPr>
              <w:t xml:space="preserve"> С.Н.</w:t>
            </w:r>
          </w:p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Воронкова О.А.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«Школа этикета»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Саяпина</w:t>
            </w:r>
            <w:proofErr w:type="spellEnd"/>
            <w:r w:rsidRPr="00D51A44">
              <w:rPr>
                <w:sz w:val="26"/>
                <w:szCs w:val="26"/>
              </w:rPr>
              <w:t xml:space="preserve"> Е.В.                      </w:t>
            </w:r>
          </w:p>
        </w:tc>
      </w:tr>
      <w:tr w:rsidR="00120816" w:rsidRPr="00D51A44" w:rsidTr="000429AF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 xml:space="preserve">«Путешествие в страну правильной речи»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Кузнецова Ю.Ю.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Бумагопластика</w:t>
            </w:r>
            <w:proofErr w:type="spellEnd"/>
            <w:r w:rsidRPr="00D51A44">
              <w:rPr>
                <w:rFonts w:ascii="Times New Roman" w:hAnsi="Times New Roman" w:cs="Times New Roman"/>
                <w:sz w:val="26"/>
                <w:szCs w:val="26"/>
              </w:rPr>
              <w:t xml:space="preserve">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Зуденкова</w:t>
            </w:r>
            <w:proofErr w:type="spellEnd"/>
            <w:r w:rsidRPr="00D51A44">
              <w:rPr>
                <w:sz w:val="26"/>
                <w:szCs w:val="26"/>
              </w:rPr>
              <w:t xml:space="preserve"> Т.Г.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 xml:space="preserve">«Шахматы»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Маскинский</w:t>
            </w:r>
            <w:proofErr w:type="spellEnd"/>
            <w:r w:rsidRPr="00D51A44">
              <w:rPr>
                <w:sz w:val="26"/>
                <w:szCs w:val="26"/>
              </w:rPr>
              <w:t xml:space="preserve"> А.В.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 xml:space="preserve">«Дорога к слову»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Иванова С.Н.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 xml:space="preserve">«Мир животных»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Калинникова</w:t>
            </w:r>
            <w:proofErr w:type="spellEnd"/>
            <w:r w:rsidRPr="00D51A44">
              <w:rPr>
                <w:sz w:val="26"/>
                <w:szCs w:val="26"/>
              </w:rPr>
              <w:t xml:space="preserve"> С.Н., </w:t>
            </w:r>
            <w:proofErr w:type="spellStart"/>
            <w:r w:rsidRPr="00D51A44">
              <w:rPr>
                <w:sz w:val="26"/>
                <w:szCs w:val="26"/>
              </w:rPr>
              <w:t>Саяпина</w:t>
            </w:r>
            <w:proofErr w:type="spellEnd"/>
            <w:r w:rsidRPr="00D51A44">
              <w:rPr>
                <w:sz w:val="26"/>
                <w:szCs w:val="26"/>
              </w:rPr>
              <w:t xml:space="preserve"> Е.В.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«Волшебный завиток»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Кальманова</w:t>
            </w:r>
            <w:proofErr w:type="spellEnd"/>
            <w:r w:rsidRPr="00D51A44">
              <w:rPr>
                <w:sz w:val="26"/>
                <w:szCs w:val="26"/>
              </w:rPr>
              <w:t xml:space="preserve"> А.М.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«Шашки»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Мялькин</w:t>
            </w:r>
            <w:proofErr w:type="spellEnd"/>
            <w:r w:rsidRPr="00D51A44">
              <w:rPr>
                <w:sz w:val="26"/>
                <w:szCs w:val="26"/>
              </w:rPr>
              <w:t xml:space="preserve"> О.И.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«Лепка и аппликация»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Бокова Т.В.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«Мир профессий без ограничений»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Симонова О.В.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«В мире профессий»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Уразова Е.А.</w:t>
            </w:r>
          </w:p>
        </w:tc>
      </w:tr>
      <w:tr w:rsidR="00120816" w:rsidRPr="00D51A44" w:rsidTr="0004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16" w:rsidRPr="00D51A44" w:rsidRDefault="00120816" w:rsidP="000429AF">
            <w:pPr>
              <w:pStyle w:val="a8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 xml:space="preserve">«Английский язык» (дистанционное обучение)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16" w:rsidRPr="00D51A44" w:rsidRDefault="00120816" w:rsidP="000429AF">
            <w:pPr>
              <w:pStyle w:val="a8"/>
              <w:jc w:val="both"/>
              <w:rPr>
                <w:sz w:val="26"/>
                <w:szCs w:val="26"/>
              </w:rPr>
            </w:pPr>
            <w:proofErr w:type="spellStart"/>
            <w:r w:rsidRPr="00D51A44">
              <w:rPr>
                <w:sz w:val="26"/>
                <w:szCs w:val="26"/>
              </w:rPr>
              <w:t>Янкина</w:t>
            </w:r>
            <w:proofErr w:type="spellEnd"/>
            <w:r w:rsidRPr="00D51A44">
              <w:rPr>
                <w:sz w:val="26"/>
                <w:szCs w:val="26"/>
              </w:rPr>
              <w:t xml:space="preserve"> С.С.</w:t>
            </w:r>
          </w:p>
        </w:tc>
      </w:tr>
    </w:tbl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Целенаправленная работа с детьми с ОВЗ в прошедшем году проводилась в клубе «Равновесие». Объединение стало «вторым домом» не только для детей, но и их родителей. Подготовка и проведение мероприятий, участие в общих праздниках, проводимых в учреждении, сплотило коллектив детей, педагогов и родителей. Подтверждением этому является популярность клуба в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. Пензе, положительные отзывы родителей, увеличение контингента учащихся на 13% к концу учебного года.</w:t>
      </w:r>
    </w:p>
    <w:p w:rsidR="00120816" w:rsidRPr="00D51A44" w:rsidRDefault="00120816" w:rsidP="00120816">
      <w:pPr>
        <w:pStyle w:val="a8"/>
        <w:ind w:firstLine="567"/>
        <w:jc w:val="both"/>
        <w:rPr>
          <w:sz w:val="26"/>
          <w:szCs w:val="26"/>
        </w:rPr>
      </w:pPr>
      <w:r w:rsidRPr="00D51A44">
        <w:rPr>
          <w:sz w:val="26"/>
          <w:szCs w:val="26"/>
        </w:rPr>
        <w:t xml:space="preserve">С 2013 в клубе «Равновесие» реализуется инновационный проект «Творческая мастерская», в которой на данный момент занимается 3 группы - 19 подростков с различными тяжелыми нарушениями развития. Деятельность педагогов направлена на профессиональную ориентацию, трудовую и социальную реабилитацию подростков-инвалидов посредством работы в полиграфической мастерской, психологических тренингов и мастерской по </w:t>
      </w:r>
      <w:proofErr w:type="spellStart"/>
      <w:r w:rsidRPr="00D51A44">
        <w:rPr>
          <w:sz w:val="26"/>
          <w:szCs w:val="26"/>
        </w:rPr>
        <w:t>скрапбукингу</w:t>
      </w:r>
      <w:proofErr w:type="spellEnd"/>
      <w:r w:rsidRPr="00D51A44">
        <w:rPr>
          <w:sz w:val="26"/>
          <w:szCs w:val="26"/>
        </w:rPr>
        <w:t>.</w:t>
      </w:r>
    </w:p>
    <w:p w:rsidR="00120816" w:rsidRPr="00D51A44" w:rsidRDefault="00120816" w:rsidP="00120816">
      <w:pPr>
        <w:pStyle w:val="a8"/>
        <w:ind w:firstLine="567"/>
        <w:jc w:val="both"/>
        <w:rPr>
          <w:sz w:val="26"/>
          <w:szCs w:val="26"/>
        </w:rPr>
      </w:pPr>
      <w:r w:rsidRPr="00D51A44">
        <w:rPr>
          <w:sz w:val="26"/>
          <w:szCs w:val="26"/>
        </w:rPr>
        <w:t>В рамках договора с центром дистанционного обучения Пензенской области учащиеся с ОВЗ, не имеющие возможности заниматься в группе или посещать учреждение, могут обучаться индивидуально, на дому или с использованием дистанционных образовательных технологий при отсутствии противопоказаний для работы с компьютером. Итоговая аттестация учащихся с ОВЗ, освоивших образовательные программы соответствующего уровня, проводится в соответствии с Положением о промежуточной и итоговой аттестации учащихся.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Клуб является организатором  открытого областного фестиваля творчества детей-инвалидов «Ради жизни на Земле».  Третий год в стенах Дворца творчества   собираются молодые таланты, количество участников в 2017 году превысило 100 человек. Тематика фестиваля «Ребенок в мире творчества и творчество в жизни ребенка» предполагала участие по 6 номинациям, декоративно-прикладное творчество, живопись, литературное творчество, музыкальное творчество,  хореография, художественная фотография. Участие в подобных мероприятиях позволяет ребенку с ОВЗ раскрыть творческие способности,  найти друзей и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 xml:space="preserve">установить новые творческие связи, чтобы жить активной жизнью. За время деятельности клуба появились традиционные мероприятия, сценарии которых разрабатывают педагоги и родители («День матери», «Рождество», «Масленичные посиделки» и др.).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Учащиеся клуба ежегодно становятся участниками фестивалей, акций и проектов «Мы разные, мы равные»,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Хаски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– детям», «Добрая Пенза», «Мир увлечений без ограничений», «Новогодний подарок», «Пенза, зажги синим», «Нас не догонят», «Вахта памяти –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этафета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поколений».</w:t>
      </w:r>
      <w:proofErr w:type="gramEnd"/>
    </w:p>
    <w:p w:rsidR="00120816" w:rsidRPr="00D51A44" w:rsidRDefault="00120816" w:rsidP="001208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Default="00120816" w:rsidP="0012081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Условия осуществления образовательного процесса</w:t>
      </w:r>
    </w:p>
    <w:p w:rsidR="00120816" w:rsidRPr="00E816D9" w:rsidRDefault="00120816" w:rsidP="0012081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Режим работы Дворца детского (юношеского) творчества с 8.00 до 20.00.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Ю)Т расположен в 3-х зданиях(основной корпус и хозяйственный блок на ул.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Бекешской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, 14, корпус на ул. Островского, 9)  общей площадью более 8 тыс. кв. м., объемом более 45 тыс.м3 , площадь территории составляет 52 га.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i/>
          <w:sz w:val="26"/>
          <w:szCs w:val="26"/>
        </w:rPr>
        <w:t>Основной корпус имеет</w:t>
      </w:r>
      <w:r w:rsidRPr="00D51A44">
        <w:rPr>
          <w:rFonts w:ascii="Times New Roman" w:hAnsi="Times New Roman" w:cs="Times New Roman"/>
          <w:sz w:val="26"/>
          <w:szCs w:val="26"/>
        </w:rPr>
        <w:t>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 xml:space="preserve"> учебно-лабораторные помещения (59);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 xml:space="preserve"> административные помещения (17);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служебные помещения (24);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склады (6);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мастерские (3);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театрально-зрелищный комплекс;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лекционный зал;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буфет;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танцевальные классы (8);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зал для борьбы (1);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спортивно-оздоровительный комплекс (спортивный и тренажерные залы, теннисный корт, стадион);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технические помещения (13);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санитарно-гигиенические комнаты (10);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вестибюли и холлы (7);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компьютерный класс (3);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методическая библиотека;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тренировочная трасса для занятий картингом;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музейный комплекс.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i/>
          <w:sz w:val="26"/>
          <w:szCs w:val="26"/>
        </w:rPr>
        <w:t>Хозяйственный блок</w:t>
      </w:r>
      <w:r w:rsidRPr="00D51A44">
        <w:rPr>
          <w:rFonts w:ascii="Times New Roman" w:hAnsi="Times New Roman" w:cs="Times New Roman"/>
          <w:sz w:val="26"/>
          <w:szCs w:val="26"/>
        </w:rPr>
        <w:t xml:space="preserve"> имеет 3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учебно-лабораторных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помещения, гараж, подсобные помещения (7) и санитарно-гигиеническую комнату.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i/>
          <w:sz w:val="26"/>
          <w:szCs w:val="26"/>
        </w:rPr>
        <w:t>Корпус на улице Островского ,9</w:t>
      </w:r>
      <w:r w:rsidRPr="00D51A44">
        <w:rPr>
          <w:rFonts w:ascii="Times New Roman" w:hAnsi="Times New Roman" w:cs="Times New Roman"/>
          <w:sz w:val="26"/>
          <w:szCs w:val="26"/>
        </w:rPr>
        <w:t xml:space="preserve"> (площадь 1915,7 кв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) имеет 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учебные помещения (8);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административные помещения (3);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служебные помещения (3);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медицинский кабинет (1);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зал для занятий хореографией (2);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 xml:space="preserve">склад (1);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 костюмерная (2);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Основной задачей инженерно-технической службы Дворца является техническое обеспечение образовательного процесса, а именно в работе службы можно выделить следующие направления: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Техническое обеспечение безопасности образовательного процесса (ОТ и ТБ);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Техническое обеспечение массовых мероприятий;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Техническое обеспечение соответствующего образовательного процесса;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Эксплуатация инженерного оборудования зданий и сооружений;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</w:t>
      </w:r>
      <w:r w:rsidRPr="00D51A44">
        <w:rPr>
          <w:rFonts w:ascii="Times New Roman" w:hAnsi="Times New Roman" w:cs="Times New Roman"/>
          <w:sz w:val="26"/>
          <w:szCs w:val="26"/>
        </w:rPr>
        <w:tab/>
        <w:t>Непосредственное участие сотрудников инженерной службы в учебном процессе.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i/>
          <w:sz w:val="26"/>
          <w:szCs w:val="26"/>
        </w:rPr>
        <w:t xml:space="preserve">ЗСДОЛ «Орленок» </w:t>
      </w:r>
      <w:r w:rsidRPr="00D51A44">
        <w:rPr>
          <w:rFonts w:ascii="Times New Roman" w:hAnsi="Times New Roman" w:cs="Times New Roman"/>
          <w:sz w:val="26"/>
          <w:szCs w:val="26"/>
        </w:rPr>
        <w:t xml:space="preserve">в настоящее время находится на реконструкции.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120816" w:rsidRPr="00D51A44" w:rsidRDefault="00120816" w:rsidP="0012081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Кадровый состав учреждения</w:t>
      </w:r>
    </w:p>
    <w:p w:rsidR="00120816" w:rsidRPr="00D51A44" w:rsidRDefault="00120816" w:rsidP="0012081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Во Дворце трудятся, обеспечивая качество образовательного процесса, педагоги дополнительного образования, концертмейстеры, методисты, педагоги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рганизаторы.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Всего работников в учреждении – 193  человека, из них: 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педагогические работники -107 чел.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обслуживающий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и учебно-вспомогательный персонал–79 чел.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Распределение педагогических работников по стажу работы: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менее 2 лет – 3 (2,8%)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 2 до 5 лет – 10 (9,3%)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 5 до 10 лет – 11 (10,3%)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 10 до 20 лет – 25 (23,4%)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от 20 лет и более – 58 (54,2%)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Распределение педагогических работников по образованию: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Высшее профессиональное образование – 84 (78,5%)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Среднее профессиональное – 17 (15,9%)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Среднее общее – 6 (5,6%)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Обучение в Пензенском многопрофильном колледже (гуманитарное отделение) проходят 16 педагогов; обучение в учреждениях высшей школы – 8 педагогов.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На сегодняшний день в 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Ю)Т работают 107 педагогических работников, из них: </w:t>
      </w:r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r w:rsidRPr="00D51A44">
        <w:rPr>
          <w:sz w:val="26"/>
          <w:szCs w:val="26"/>
        </w:rPr>
        <w:t>17 – награждены нагрудным знаком «Почетный работник общего образования РФ»,</w:t>
      </w:r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D51A44">
        <w:rPr>
          <w:sz w:val="26"/>
          <w:szCs w:val="26"/>
        </w:rPr>
        <w:t xml:space="preserve">11 – награждены нагрудным знаком </w:t>
      </w:r>
      <w:r>
        <w:rPr>
          <w:sz w:val="26"/>
          <w:szCs w:val="26"/>
        </w:rPr>
        <w:t>«</w:t>
      </w:r>
      <w:r w:rsidRPr="00D51A44">
        <w:rPr>
          <w:sz w:val="26"/>
          <w:szCs w:val="26"/>
        </w:rPr>
        <w:t>Отличник народного просвещения</w:t>
      </w:r>
      <w:r>
        <w:rPr>
          <w:sz w:val="26"/>
          <w:szCs w:val="26"/>
        </w:rPr>
        <w:t>»</w:t>
      </w:r>
      <w:r w:rsidRPr="00D51A44">
        <w:rPr>
          <w:sz w:val="26"/>
          <w:szCs w:val="26"/>
        </w:rPr>
        <w:t>,</w:t>
      </w:r>
      <w:proofErr w:type="gramEnd"/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r w:rsidRPr="00D51A44">
        <w:rPr>
          <w:sz w:val="26"/>
          <w:szCs w:val="26"/>
        </w:rPr>
        <w:t xml:space="preserve">1 – </w:t>
      </w:r>
      <w:r>
        <w:rPr>
          <w:sz w:val="26"/>
          <w:szCs w:val="26"/>
        </w:rPr>
        <w:t>награжден</w:t>
      </w:r>
      <w:r w:rsidRPr="00D51A44">
        <w:rPr>
          <w:sz w:val="26"/>
          <w:szCs w:val="26"/>
        </w:rPr>
        <w:t xml:space="preserve"> нагрудным знаком </w:t>
      </w:r>
      <w:r>
        <w:rPr>
          <w:sz w:val="26"/>
          <w:szCs w:val="26"/>
        </w:rPr>
        <w:t>«</w:t>
      </w:r>
      <w:r w:rsidRPr="00D51A44">
        <w:rPr>
          <w:sz w:val="26"/>
          <w:szCs w:val="26"/>
        </w:rPr>
        <w:t>Отличник физической культуры и спорта РФ</w:t>
      </w:r>
      <w:r>
        <w:rPr>
          <w:sz w:val="26"/>
          <w:szCs w:val="26"/>
        </w:rPr>
        <w:t>»</w:t>
      </w:r>
      <w:r w:rsidRPr="00D51A44">
        <w:rPr>
          <w:sz w:val="26"/>
          <w:szCs w:val="26"/>
        </w:rPr>
        <w:t xml:space="preserve">, </w:t>
      </w:r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r w:rsidRPr="00D51A44">
        <w:rPr>
          <w:sz w:val="26"/>
          <w:szCs w:val="26"/>
        </w:rPr>
        <w:t xml:space="preserve">1 – </w:t>
      </w:r>
      <w:r>
        <w:rPr>
          <w:sz w:val="26"/>
          <w:szCs w:val="26"/>
        </w:rPr>
        <w:t>награжден</w:t>
      </w:r>
      <w:r w:rsidRPr="00D51A44">
        <w:rPr>
          <w:sz w:val="26"/>
          <w:szCs w:val="26"/>
        </w:rPr>
        <w:t xml:space="preserve"> нагрудным знаком </w:t>
      </w:r>
      <w:r>
        <w:rPr>
          <w:sz w:val="26"/>
          <w:szCs w:val="26"/>
        </w:rPr>
        <w:t>«</w:t>
      </w:r>
      <w:r w:rsidRPr="00D51A44">
        <w:rPr>
          <w:sz w:val="26"/>
          <w:szCs w:val="26"/>
        </w:rPr>
        <w:t>Отличник Всероссийского музыкального общества</w:t>
      </w:r>
      <w:r>
        <w:rPr>
          <w:sz w:val="26"/>
          <w:szCs w:val="26"/>
        </w:rPr>
        <w:t>»</w:t>
      </w:r>
      <w:r w:rsidRPr="00D51A44">
        <w:rPr>
          <w:sz w:val="26"/>
          <w:szCs w:val="26"/>
        </w:rPr>
        <w:t xml:space="preserve">,  </w:t>
      </w:r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r w:rsidRPr="00D51A44">
        <w:rPr>
          <w:sz w:val="26"/>
          <w:szCs w:val="26"/>
        </w:rPr>
        <w:t>1 – Заслуженный работник культуры РФ,</w:t>
      </w:r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r w:rsidRPr="00D51A44">
        <w:rPr>
          <w:sz w:val="26"/>
          <w:szCs w:val="26"/>
        </w:rPr>
        <w:t>1 – Почетный работник сферы Молодежной политики РФ,</w:t>
      </w:r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r w:rsidRPr="00D51A44">
        <w:rPr>
          <w:sz w:val="26"/>
          <w:szCs w:val="26"/>
        </w:rPr>
        <w:t>1 – Почетный радист РФ,</w:t>
      </w:r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r w:rsidRPr="00D51A44">
        <w:rPr>
          <w:sz w:val="26"/>
          <w:szCs w:val="26"/>
        </w:rPr>
        <w:t>1 – Мастер спорта Международного класса,</w:t>
      </w:r>
    </w:p>
    <w:p w:rsidR="00120816" w:rsidRPr="00D51A44" w:rsidRDefault="00120816" w:rsidP="00120816">
      <w:pPr>
        <w:pStyle w:val="a8"/>
        <w:ind w:firstLine="708"/>
        <w:jc w:val="both"/>
        <w:rPr>
          <w:sz w:val="26"/>
          <w:szCs w:val="26"/>
        </w:rPr>
      </w:pPr>
      <w:r w:rsidRPr="00D51A44">
        <w:rPr>
          <w:sz w:val="26"/>
          <w:szCs w:val="26"/>
        </w:rPr>
        <w:t>7 – Мастеров спорта,</w:t>
      </w:r>
    </w:p>
    <w:p w:rsidR="00120816" w:rsidRPr="00D51A44" w:rsidRDefault="00120816" w:rsidP="00120816">
      <w:pPr>
        <w:pStyle w:val="a8"/>
        <w:ind w:firstLine="708"/>
        <w:jc w:val="both"/>
        <w:rPr>
          <w:b/>
          <w:sz w:val="26"/>
          <w:szCs w:val="26"/>
        </w:rPr>
      </w:pPr>
      <w:r w:rsidRPr="00D51A44">
        <w:rPr>
          <w:sz w:val="26"/>
          <w:szCs w:val="26"/>
        </w:rPr>
        <w:t>3 – кандидата наук.</w:t>
      </w:r>
      <w:r w:rsidRPr="00D51A44">
        <w:rPr>
          <w:b/>
          <w:sz w:val="26"/>
          <w:szCs w:val="26"/>
        </w:rPr>
        <w:t xml:space="preserve">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Значительную роль в кадровом обеспечении играют выпускники, которые, получив педагогическое образование, возвращаются во Дворец в качестве сотрудников. Это позволяет сохранять творческие традиции учреждения,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>обеспечивать преемственность содержания деятельности. 50 работников учреждения являются выпускниками детских объединений Дворца.</w:t>
      </w:r>
    </w:p>
    <w:p w:rsidR="00120816" w:rsidRPr="00D51A44" w:rsidRDefault="00120816" w:rsidP="00120816">
      <w:pPr>
        <w:pStyle w:val="a8"/>
        <w:ind w:firstLine="567"/>
        <w:jc w:val="both"/>
        <w:rPr>
          <w:sz w:val="26"/>
          <w:szCs w:val="26"/>
        </w:rPr>
      </w:pPr>
      <w:r w:rsidRPr="00D51A44">
        <w:rPr>
          <w:sz w:val="26"/>
          <w:szCs w:val="26"/>
        </w:rPr>
        <w:t>51%</w:t>
      </w:r>
      <w:r w:rsidRPr="00D51A44">
        <w:rPr>
          <w:b/>
          <w:sz w:val="26"/>
          <w:szCs w:val="26"/>
        </w:rPr>
        <w:t xml:space="preserve"> </w:t>
      </w:r>
      <w:r w:rsidRPr="00D51A44">
        <w:rPr>
          <w:sz w:val="26"/>
          <w:szCs w:val="26"/>
        </w:rPr>
        <w:t>педагогических работников</w:t>
      </w:r>
      <w:r w:rsidRPr="00D51A44">
        <w:rPr>
          <w:b/>
          <w:sz w:val="26"/>
          <w:szCs w:val="26"/>
        </w:rPr>
        <w:t xml:space="preserve"> </w:t>
      </w:r>
      <w:r w:rsidRPr="00D51A44">
        <w:rPr>
          <w:sz w:val="26"/>
          <w:szCs w:val="26"/>
        </w:rPr>
        <w:t xml:space="preserve">аттестованы на высшую и первую квалификационные категории. Ежегодно проходит аттестация на соответствие занимаемой должности.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Повышение квалификации педагогических работников</w:t>
      </w:r>
    </w:p>
    <w:p w:rsidR="00120816" w:rsidRPr="00D51A44" w:rsidRDefault="00120816" w:rsidP="00120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Для  педагогов    повышение  квалификации  и  участие  в  системе  непрерывного образования    является  принципиально  важным.  Оно  призвано  содействовать профессиональному  росту  и  развитию  как  в  плане  владения  собственным предметом, так и в отношении освоения педагогом новых образовательных методик и технологий.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A44">
        <w:rPr>
          <w:rFonts w:ascii="Times New Roman" w:hAnsi="Times New Roman" w:cs="Times New Roman"/>
          <w:sz w:val="26"/>
          <w:szCs w:val="26"/>
        </w:rPr>
        <w:t xml:space="preserve">37 педагогических работников обучились на курсах повышения квалификации в Институте регионального развития Пензенской области (Агапов А.С., Антипова Л.В.,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Байков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Е.Е., Борисов А.Ю.,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Бурлакова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С.Н., Вишнякова Р.Э.,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Гебель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Ю.В., Глазкова Т.В., Гончарова Е.С.,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Горбатенко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О.А., Дегтярев А.А.,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Ерошенко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В.А.,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Желобаев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Закромин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В.А., Кондрашова В.М., Кравцова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 xml:space="preserve">М.И., Куликов Д.Ю.,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Леднева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Маскинский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А.В., Миронов А.П., Петяев В.П.,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Роганов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Е.В., Романова Е.И., Рыжова Т.А., Семенов А.А., Серова Л.Ю., Соловьева А.Ю., Солуданов А.Ю., Сорокин В.С.,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Турукина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Е.Л., Уразова Е.А.,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Чиликова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Е.И.), Тульском государственном педагогическом университете им. Л.Н. Толстого (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Мунин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И.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В., Павлов А.А.,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Старшев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В.Л.), Московском государственном психолого-педагогическом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университете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(Симонова О.В.).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Активную  научно-методическую работу  проводит Методический центр  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Ю)Т. Деятельность  центра    направлена    на    совершенствование  системы  качества образовательной  деятельности  в    учреждении,      организацию  обмена  опытом  и повышения методического уровня работников Дворца творчества, внедрение новых образовательных педагогических технологий и современных методик воспитания.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 рамках «Школы профессионального мастерства»  проведены учебы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технологии в образовательном процессе» (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Бурлакова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С.Н.), «Образ педагога дополнительного образования. Социальные сети» (Зимин И.В., Рогачкова Л.В.), «Образ педагога дополнительного образования.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Дресс-код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» (Букина О.А.), «Профилактика эмоционального выгорания» (Боков А.М.). 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 2017 году также была организована работа творческих лабораторий «Информационные технологии» (Зимин И.В.), «Компьютерный дизайн. Создание полиграфической продукции» (Маврина А.В.), «Полезная психология» (Боков А.М.) в соответствии с планом. Занятия,    проводимые    методистами,  всегда  носят    продуктивный  характер. Наряду  с  рассмотрением  теоретических  вопросов,  проводятся  практикумы, организационно-деловые  игры,  участие  в  проектной  деятельности.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целях повышения профессионального мастерства педагогических работников, обобщения и распространения передового педагогического опыта проведены мастер-классы и открытые занятия педагогических работников учреждения в рамках областной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площадки ИРР и Педагогического салона.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lastRenderedPageBreak/>
        <w:t xml:space="preserve">В  течение года методисты  проводят  консультирование по вопросам совершенствования программно-методического  обеспечения,  функционирования  методической  службы,   инновационным  формам  работы  в  образовательной  деятельности,    организации ученического и детского самоуправления и др.   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Осуществляется  информирование и ознакомление  педагогических работников   с  актуальными  направлениями  развития    системы  дополнительного  образования детей,    с  инновационным  опытом  работы,  новинками  педагогической,  психологической,    научно-методической  литературы,  с  содержанием  программ    и  учебно-методических комплексов.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Ступенью повышения профессионального мастерства в 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Ю)Т является конкурсы профессионального мастерства, которые дают возможность педагогу проявить  себя  как  творческая  личность,  показать  свой  талант,  своеобразие  в определенном виде деятельности.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Специалистами Методического центра осуществлялась подготовка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пдо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Роганова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Е.В. к муниципальному и региональному этапам конкурса «Сердце отдаю детям», на которых он занял соответственно 1 и 2 места, а также к региональному конкурсу педагогических работников образовательных организаций «Педагогический Олимп» (победитель).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Благодаря слаженной работе, в прошедшем году существенно увеличилось количество педагогических работников, принимающих участие в научно-практической конференции педагогических работников образовательных организаций города Пензы.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A44">
        <w:rPr>
          <w:rFonts w:ascii="Times New Roman" w:hAnsi="Times New Roman" w:cs="Times New Roman"/>
          <w:sz w:val="26"/>
          <w:szCs w:val="26"/>
        </w:rPr>
        <w:t xml:space="preserve">Так, в секции «Педагогические чтения» приняли участие педагоги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Гебель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Ю.В., 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Калинникова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С.Н.,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Конкин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А.А.; в секции «Педагогический совет» Дворец был награжден дипломом в номинации «Актуальность темы»; в работе секции «Мастер-класс» приняли участие Солуданов А.Ю., Шутова Н.Д. (награждена в номинации «Исследовательская работа»), а педагог Уразова Е.А. стала победителем. </w:t>
      </w:r>
      <w:proofErr w:type="gramEnd"/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Методист Дурашова Т.В. стала лауреатом первого областного педагогического турнира методистов организаций дополнительного образования «Профессионализм методиста – успех педагога».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Педагоги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Старшев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В.Л. и Дегтярев А.А. стали победителями регионального конкурса  «Лучший офицер-наставник, преподаватель-организатор основ безопасности жизнедеятельности, педагог дополнительного образования детей, реализующий программы патриотической направленности».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Уразова Е.А. стала победителем Конкурса педагогических работников муниципальных образовательных учреждений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. Пензы на получение денежного поощрения за высокие достижения в педагогической деятельности, получившие общественное признание.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Дополнительные общеобразовательные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программы «Во славу Отечества» (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Старшев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В.Л.), «Каратэ. Воспитание характера» (Журавлев В.Н.,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Роганов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Е.В.) и методические пособия «Новины» (Шутова Н.Д.) и «Учебно-методическое пособие по высотно-штурмовой подготовке» (Дегтярев А.А.) стали лауреатами муниципального конкурса авторских образовательных программ и методических пособий.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Также специалисты Методического центра работали в составе жюри различных конкурсов: городского конкурса социальных проектов «Я – гражданин России» (Дурашова Т.В., Рогачкова Л.В.), областного конкурса социальных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 xml:space="preserve">проектов «Я – гражданин России» (Антипова Л.В.), </w:t>
      </w:r>
      <w:r w:rsidRPr="00D51A44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51A44">
        <w:rPr>
          <w:rFonts w:ascii="Times New Roman" w:hAnsi="Times New Roman" w:cs="Times New Roman"/>
          <w:sz w:val="26"/>
          <w:szCs w:val="26"/>
        </w:rPr>
        <w:t xml:space="preserve"> научно-практической конференции педагогических работников (Дурашова Т.В.), муниципальном этапе игры «Семья – волшебный символ жизни!» (Гончарова Е.С.)., регионального фестиваля-презентации проектов и программ дополнительного образования и внеурочной занятости «Палитра творчества» (Рогачкова Л.В.).</w:t>
      </w:r>
    </w:p>
    <w:p w:rsidR="00120816" w:rsidRPr="00D51A44" w:rsidRDefault="00120816" w:rsidP="0012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Проведен учрежденческий конкурс дополнительных общеобразовательных программ и учебно-методических пособий. На конкурс были представлены 6 учебно-методических пособий и 3 дополнительные общеобразовательные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Члены жюри отметили высокий уровень представленных работ. Призовые места распределились следующим образом: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 номинации «Дополнительные общеобразовательные программы»: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1 место – авторский коллектив в составе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Роганова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Е.В. и Журавлева В.Н. за дополнительную общеобразовательную программу «Каратэ. Воспитание характера»,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Старшев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В.Л. за дополнительную общеобразовательную программу «Во славу Отечества».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2 место – не присуждать никому.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3 место – авторский коллектив в составе Веденяпиной В.А. и Черенковой Я.С. за дополнительную общеобразовательную программу «Цирковое искусство».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 номинации «Учебно-методические пособия»: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1 место – Шутова Н.Д. за учебно-методическое пособие «Новины».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Лисач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С.Г. за учебно-методическое пособие «Художественно-эстетическое воспитание детей средствами театральной деятельности»,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Арзамасцев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С.В. за учебно-методическое пособие «Эра гармонии. Занимательный курс аккомпанирования».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3 место –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Мунин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И.В. за учебно-методическое пособие «Методика стрельбы из пневматической винтовки для младшего школьного возраста».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Педагог Кузнецова Ю.Ю. прошла обучение в рамках областной лаборатории «Педагогический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Старт-Ап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».</w:t>
      </w:r>
    </w:p>
    <w:p w:rsidR="00120816" w:rsidRPr="00D51A44" w:rsidRDefault="00120816" w:rsidP="001208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Результаты деятельности учреждения.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Удовлетворенность образовательным процессом учащихся родителей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2017 году коллектив Дворца (и педагогический, и учащиеся) достиг высоких результатов в творческой и профессиональной деятельности.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Так, ежегодно победителями конкурсов, фестивалей, турниров различных уровней становятся порядка 1 тысячи учащихся Дворца.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 xml:space="preserve">Из них на международном уровне –  более 180 чел., на всероссийском – более 200 чел., на региональном – более 300 чел., на городском – порядка 200 чел. </w:t>
      </w:r>
      <w:proofErr w:type="gramEnd"/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A44">
        <w:rPr>
          <w:rFonts w:ascii="Times New Roman" w:hAnsi="Times New Roman" w:cs="Times New Roman"/>
          <w:sz w:val="26"/>
          <w:szCs w:val="26"/>
        </w:rPr>
        <w:t>Постоянными призерами и победителями конкурсов и фестивалей Всероссийского и Международного уровня становятся учащиеся детских объединений «Радиотехника и дети», «Каратэ», «Геркулес», «Грааль», военно-патриотического объединения «Вымпел», ансамбля «Подсолнух», вокальной студии «Контраст», «Театра моды Ольги Букиной», образцовых детских коллективов ансамбля танца «Веснушки», детский театр «Зеркальце», фольклорный ансамбль «Росиночка», театр кукол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Тутти-Фрутти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» и других.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 В июне 2017 года учащиеся ВПО «Вымпел» стали победителями состязаний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>участников движения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» в рамках проведения всеармейского этапа конкурса «Мастер-оружейник – 2017».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Дворец в 2017 году стал победителем Открытого публичного Всероссийского смотра-конкурса образовательных организаций в номинации «300 лучших организаций дополнительного образования». </w:t>
      </w:r>
    </w:p>
    <w:p w:rsidR="00120816" w:rsidRPr="00036285" w:rsidRDefault="00120816" w:rsidP="0012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Коллектив МБОУДО «Д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Ю)Т» г. Пензы стал победителем конкурса «Юный экскурсовод школьного музея» имени краеведа, этнографа Б.Н. Гвоздева в номинации «Методика проведения экскурсии» и Лауреатом </w:t>
      </w:r>
      <w:r w:rsidRPr="00D51A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51A44">
        <w:rPr>
          <w:rFonts w:ascii="Times New Roman" w:hAnsi="Times New Roman" w:cs="Times New Roman"/>
          <w:sz w:val="26"/>
          <w:szCs w:val="26"/>
        </w:rPr>
        <w:t xml:space="preserve"> степени Городского фестиваля творчества семей сотрудников органов внутренних дел, ветеранов органов внутренних дел, учреждений культуры и творческих коллективов.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Дворец творчества удовлетворяет интересы и потребности детей и их родителей по 78  образовательным  программам,  дающим  им  знания,  умения  и  навыки деятельности    во  многих  областях  науки,  техники,  культуры,  спорта  и  др., формирующим  их  творческий  потенциал,  устойчивую  мотивацию  к  социально-позитивной деятельности, профессиональной и социальной ориентации.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Дважды в год в учреждении проводится анкетирование родителей учащихся,  в ходе которого  анализируется уровень удовлетворенности качеством образовательного процесса. 95,3 % респондентов в целом довольны качеством образовательных услуг в МБОУДО «Д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Ю)Т». Опрос показал высокую удовлетворенность (98,1%) уровнем профессиональной компетентности педагогического коллектива.  Столь высокая оценка представляется нам вполне обоснованной, как в связи с высокой квалификацией педагогического коллектива в целом, так и в связи с одной из специфических особенностей дополнительного образования, выражающейся в  добровольности и взаимности выбора направления деятельности и педагога.</w:t>
      </w:r>
    </w:p>
    <w:p w:rsidR="00120816" w:rsidRPr="00D51A44" w:rsidRDefault="00120816" w:rsidP="00120816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 целом, значения показателей незначительно отличаются от показателей исследования прошлого года и остаются высокими в области положительных оценок удовлетворенности. Можно, однако, заметить некоторый рост процента в столбцах «нет» и «затрудняюсь ответить», что мы склонны рассматривать как положительную тенденцию возрастающей критичности и требовательности родителей к условиям и качеству обучения, основанную на формирующейся позиции неравнодушного, заинтересованного и ответственного отношения к учебно-воспитательному процессу в учреждении. Такая позиция родителей, в свою очередь, является результатом методичной работы администрации с родительскими комитетами детских объединений.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20% родителей выражают озабоченность бытовыми условиями в учреждении. 4,7% из них высказывают прямую неудовлетворенность в данном вопросе. При этом 78% респондентов считают, что администрация учреждения и педагоги создают все необходимые условия для развития и подготовки ребенка к самостоятельной жизни. Решение о посещении ребенком объединения принимается родителями на основе интересов ребенка (50%), репутации учреждения в городе (15%) и удобством местоположения (25%) (Приложение 6). </w:t>
      </w:r>
    </w:p>
    <w:p w:rsidR="00120816" w:rsidRPr="00D51A44" w:rsidRDefault="00120816" w:rsidP="001208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 xml:space="preserve">Воспитательная, организационно-массовая, 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51A44">
        <w:rPr>
          <w:rFonts w:ascii="Times New Roman" w:hAnsi="Times New Roman" w:cs="Times New Roman"/>
          <w:b/>
          <w:sz w:val="26"/>
          <w:szCs w:val="26"/>
        </w:rPr>
        <w:t>досуговая</w:t>
      </w:r>
      <w:proofErr w:type="spellEnd"/>
      <w:r w:rsidRPr="00D51A44">
        <w:rPr>
          <w:rFonts w:ascii="Times New Roman" w:hAnsi="Times New Roman" w:cs="Times New Roman"/>
          <w:b/>
          <w:sz w:val="26"/>
          <w:szCs w:val="26"/>
        </w:rPr>
        <w:t xml:space="preserve">  деятельность</w:t>
      </w:r>
    </w:p>
    <w:p w:rsidR="00120816" w:rsidRPr="00D51A44" w:rsidRDefault="00120816" w:rsidP="0012081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Организационно-массовая работа Дворца представляет собой комплекс мер, направленных на формирование единого творческого союза учащихся, педагогов и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 xml:space="preserve">родителей, выявление творческих способностей учащихся, организацию досуга во внеурочное время.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 2017 году во Дворце детского (юношеского) творчества было проведено более 300 мероприятий с общим охватом участников порядка 40 тысяч человек.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10"/>
        <w:gridCol w:w="903"/>
        <w:gridCol w:w="1010"/>
        <w:gridCol w:w="903"/>
        <w:gridCol w:w="818"/>
        <w:gridCol w:w="1097"/>
        <w:gridCol w:w="888"/>
        <w:gridCol w:w="1027"/>
        <w:gridCol w:w="816"/>
        <w:gridCol w:w="1099"/>
      </w:tblGrid>
      <w:tr w:rsidR="00120816" w:rsidRPr="00D51A44" w:rsidTr="000429AF">
        <w:tc>
          <w:tcPr>
            <w:tcW w:w="1913" w:type="dxa"/>
            <w:gridSpan w:val="2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Учрежденческий уровень</w:t>
            </w:r>
          </w:p>
        </w:tc>
        <w:tc>
          <w:tcPr>
            <w:tcW w:w="1913" w:type="dxa"/>
            <w:gridSpan w:val="2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Муниципальный уровень</w:t>
            </w:r>
          </w:p>
        </w:tc>
        <w:tc>
          <w:tcPr>
            <w:tcW w:w="1915" w:type="dxa"/>
            <w:gridSpan w:val="2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Региональный уровень</w:t>
            </w:r>
          </w:p>
        </w:tc>
        <w:tc>
          <w:tcPr>
            <w:tcW w:w="1915" w:type="dxa"/>
            <w:gridSpan w:val="2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Всероссийский уровень</w:t>
            </w:r>
          </w:p>
        </w:tc>
        <w:tc>
          <w:tcPr>
            <w:tcW w:w="1915" w:type="dxa"/>
            <w:gridSpan w:val="2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Международный</w:t>
            </w:r>
          </w:p>
        </w:tc>
      </w:tr>
      <w:tr w:rsidR="00120816" w:rsidRPr="00D51A44" w:rsidTr="000429AF">
        <w:trPr>
          <w:trHeight w:val="965"/>
        </w:trPr>
        <w:tc>
          <w:tcPr>
            <w:tcW w:w="1010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903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010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903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818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1097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888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1027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816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мероприятий</w:t>
            </w:r>
          </w:p>
        </w:tc>
        <w:tc>
          <w:tcPr>
            <w:tcW w:w="1099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Кол-во участников</w:t>
            </w:r>
          </w:p>
        </w:tc>
      </w:tr>
      <w:tr w:rsidR="00120816" w:rsidRPr="00D51A44" w:rsidTr="000429AF">
        <w:tc>
          <w:tcPr>
            <w:tcW w:w="1010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24</w:t>
            </w:r>
          </w:p>
        </w:tc>
        <w:tc>
          <w:tcPr>
            <w:tcW w:w="903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5100</w:t>
            </w:r>
          </w:p>
        </w:tc>
        <w:tc>
          <w:tcPr>
            <w:tcW w:w="1010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155</w:t>
            </w:r>
          </w:p>
        </w:tc>
        <w:tc>
          <w:tcPr>
            <w:tcW w:w="903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9000</w:t>
            </w:r>
          </w:p>
        </w:tc>
        <w:tc>
          <w:tcPr>
            <w:tcW w:w="818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124</w:t>
            </w:r>
          </w:p>
        </w:tc>
        <w:tc>
          <w:tcPr>
            <w:tcW w:w="1097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9400</w:t>
            </w:r>
          </w:p>
        </w:tc>
        <w:tc>
          <w:tcPr>
            <w:tcW w:w="888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6</w:t>
            </w:r>
          </w:p>
        </w:tc>
        <w:tc>
          <w:tcPr>
            <w:tcW w:w="1027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9300</w:t>
            </w:r>
          </w:p>
        </w:tc>
        <w:tc>
          <w:tcPr>
            <w:tcW w:w="816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120816" w:rsidRPr="00D51A44" w:rsidRDefault="00120816" w:rsidP="000429AF">
            <w:pPr>
              <w:pStyle w:val="a8"/>
              <w:rPr>
                <w:sz w:val="26"/>
                <w:szCs w:val="26"/>
              </w:rPr>
            </w:pPr>
            <w:r w:rsidRPr="00D51A44">
              <w:rPr>
                <w:sz w:val="26"/>
                <w:szCs w:val="26"/>
              </w:rPr>
              <w:t>8000</w:t>
            </w:r>
          </w:p>
        </w:tc>
      </w:tr>
    </w:tbl>
    <w:p w:rsidR="00120816" w:rsidRPr="00D51A44" w:rsidRDefault="00120816" w:rsidP="001208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Сравнительный анализ количества проведенных мероприятий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3626"/>
        <w:gridCol w:w="3049"/>
        <w:gridCol w:w="2896"/>
      </w:tblGrid>
      <w:tr w:rsidR="00120816" w:rsidRPr="00D51A44" w:rsidTr="000429AF">
        <w:tc>
          <w:tcPr>
            <w:tcW w:w="1894" w:type="pct"/>
          </w:tcPr>
          <w:p w:rsidR="00120816" w:rsidRPr="00D51A44" w:rsidRDefault="00120816" w:rsidP="000429A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Период</w:t>
            </w:r>
          </w:p>
        </w:tc>
        <w:tc>
          <w:tcPr>
            <w:tcW w:w="1593" w:type="pct"/>
          </w:tcPr>
          <w:p w:rsidR="00120816" w:rsidRPr="00D51A44" w:rsidRDefault="00120816" w:rsidP="000429A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Кол-во мероприятий</w:t>
            </w:r>
          </w:p>
        </w:tc>
        <w:tc>
          <w:tcPr>
            <w:tcW w:w="1513" w:type="pct"/>
          </w:tcPr>
          <w:p w:rsidR="00120816" w:rsidRPr="00D51A44" w:rsidRDefault="00120816" w:rsidP="000429A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Кол-во участников</w:t>
            </w:r>
          </w:p>
        </w:tc>
      </w:tr>
      <w:tr w:rsidR="00120816" w:rsidRPr="00D51A44" w:rsidTr="000429AF">
        <w:tc>
          <w:tcPr>
            <w:tcW w:w="1894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2014/2015 </w:t>
            </w:r>
            <w:proofErr w:type="spellStart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уч.г</w:t>
            </w:r>
            <w:proofErr w:type="spellEnd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593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13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25 600</w:t>
            </w:r>
          </w:p>
        </w:tc>
      </w:tr>
      <w:tr w:rsidR="00120816" w:rsidRPr="00D51A44" w:rsidTr="000429AF">
        <w:tc>
          <w:tcPr>
            <w:tcW w:w="1894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2015/2016 </w:t>
            </w:r>
            <w:proofErr w:type="spellStart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уч.г</w:t>
            </w:r>
            <w:proofErr w:type="spellEnd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593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13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18 670</w:t>
            </w:r>
          </w:p>
        </w:tc>
      </w:tr>
      <w:tr w:rsidR="00120816" w:rsidRPr="00D51A44" w:rsidTr="000429AF">
        <w:tc>
          <w:tcPr>
            <w:tcW w:w="1894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2016</w:t>
            </w:r>
            <w:r w:rsidRPr="00D51A4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2017 </w:t>
            </w:r>
            <w:proofErr w:type="spellStart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уч.г</w:t>
            </w:r>
            <w:proofErr w:type="spellEnd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593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513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16 625</w:t>
            </w:r>
          </w:p>
        </w:tc>
      </w:tr>
      <w:tr w:rsidR="00120816" w:rsidRPr="00D51A44" w:rsidTr="000429AF">
        <w:tc>
          <w:tcPr>
            <w:tcW w:w="1894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2017</w:t>
            </w:r>
            <w:r w:rsidRPr="00D51A4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2018 </w:t>
            </w:r>
            <w:proofErr w:type="spellStart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уч.г</w:t>
            </w:r>
            <w:proofErr w:type="spellEnd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593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513" w:type="pct"/>
          </w:tcPr>
          <w:p w:rsidR="00120816" w:rsidRPr="00D51A44" w:rsidRDefault="00120816" w:rsidP="00042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40800</w:t>
            </w:r>
          </w:p>
        </w:tc>
      </w:tr>
    </w:tbl>
    <w:p w:rsidR="00120816" w:rsidRPr="00D51A44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Наиболее запоминающимися мероприятиями стали Неделя открытых дверей, праздники микрорайона, новогодние представления, масленичные гуляния, фестиваль «Ради жизни на Земле».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Большое количество детей во время каникул смогли поучаствовать в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квестах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, ежегодном конкурсе «Снегурочка года», городском конкурсе «Красавица в погонах». Для детей из замещающих семей были устроены мастер-классы, в которых дети смогли поучаствовать вместе с родителями. Было проведено 3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всероссийских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турнира по историческому фехтованию.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Яркой точкой в конце учебного года стали отчётные концерты творческих коллективов. А для учащихся спортивных объединений были проведены: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турнир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по жиму лёжа, турнир по мини-футболу, Открытое первенство по дзюдо среди юношей.</w:t>
      </w:r>
    </w:p>
    <w:p w:rsidR="00120816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. Пензы  было организовано и проведено 5 городских мероприятия: городской конкурс «Я гражданин – России», Городской смотр-конкурс  хоровых коллективов «Весенние голоса», городские соревнования по картингу среди юношей, им. О.В. Николаева, Городской конкурс поэтов и прозаиков, Вахта памяти. Участники конкурсных программ отметили высокое качество организации мероприятий, повышение уровня их проведения.</w:t>
      </w: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036285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Информация о количестве детей, принявших участие в городских мероприятиях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рамках муниципального задания </w:t>
      </w:r>
      <w:r w:rsidRPr="00D51A44">
        <w:rPr>
          <w:rFonts w:ascii="Times New Roman" w:hAnsi="Times New Roman" w:cs="Times New Roman"/>
          <w:b/>
          <w:sz w:val="26"/>
          <w:szCs w:val="26"/>
        </w:rPr>
        <w:t>за 2017 год в соответствии с планом мероприятий Управления образования г. Пензы и на основании приказов</w:t>
      </w:r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  <w:r w:rsidRPr="00D51A44">
        <w:rPr>
          <w:rFonts w:ascii="Times New Roman" w:hAnsi="Times New Roman" w:cs="Times New Roman"/>
          <w:b/>
          <w:sz w:val="26"/>
          <w:szCs w:val="26"/>
        </w:rPr>
        <w:t>МБОУ ДО «Д</w:t>
      </w:r>
      <w:proofErr w:type="gramStart"/>
      <w:r w:rsidRPr="00D51A44">
        <w:rPr>
          <w:rFonts w:ascii="Times New Roman" w:hAnsi="Times New Roman" w:cs="Times New Roman"/>
          <w:b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b/>
          <w:sz w:val="26"/>
          <w:szCs w:val="26"/>
        </w:rPr>
        <w:t>Ю)Т»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35"/>
      </w:tblGrid>
      <w:tr w:rsidR="00120816" w:rsidRPr="00D51A44" w:rsidTr="000429AF">
        <w:trPr>
          <w:trHeight w:val="615"/>
        </w:trPr>
        <w:tc>
          <w:tcPr>
            <w:tcW w:w="6771" w:type="dxa"/>
          </w:tcPr>
          <w:p w:rsidR="00120816" w:rsidRPr="00D51A44" w:rsidRDefault="00120816" w:rsidP="00042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мероприятий, проведенных в Д</w:t>
            </w:r>
            <w:proofErr w:type="gramStart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Д(</w:t>
            </w:r>
            <w:proofErr w:type="gramEnd"/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Ю)Т</w:t>
            </w:r>
          </w:p>
        </w:tc>
        <w:tc>
          <w:tcPr>
            <w:tcW w:w="2835" w:type="dxa"/>
          </w:tcPr>
          <w:p w:rsidR="00120816" w:rsidRPr="00D51A44" w:rsidRDefault="00120816" w:rsidP="000429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детей, принявших участие</w:t>
            </w:r>
          </w:p>
        </w:tc>
      </w:tr>
      <w:tr w:rsidR="00120816" w:rsidRPr="00D51A44" w:rsidTr="000429AF">
        <w:trPr>
          <w:trHeight w:val="441"/>
        </w:trPr>
        <w:tc>
          <w:tcPr>
            <w:tcW w:w="6771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Городской конкурс поэтов и прозаиков</w:t>
            </w:r>
          </w:p>
        </w:tc>
        <w:tc>
          <w:tcPr>
            <w:tcW w:w="2835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20816" w:rsidRPr="00D51A44" w:rsidTr="000429AF">
        <w:trPr>
          <w:trHeight w:val="70"/>
        </w:trPr>
        <w:tc>
          <w:tcPr>
            <w:tcW w:w="6771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Городской смотр-конкурс  хоровых коллективов «Весенние голоса»</w:t>
            </w:r>
          </w:p>
        </w:tc>
        <w:tc>
          <w:tcPr>
            <w:tcW w:w="2835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120816" w:rsidRPr="00D51A44" w:rsidTr="000429AF">
        <w:trPr>
          <w:trHeight w:val="70"/>
        </w:trPr>
        <w:tc>
          <w:tcPr>
            <w:tcW w:w="6771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Городские соревнования по картингу</w:t>
            </w:r>
          </w:p>
        </w:tc>
        <w:tc>
          <w:tcPr>
            <w:tcW w:w="2835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120816" w:rsidRPr="00D51A44" w:rsidTr="000429AF">
        <w:trPr>
          <w:trHeight w:val="70"/>
        </w:trPr>
        <w:tc>
          <w:tcPr>
            <w:tcW w:w="6771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Городской конкурс социальных проектов «Я – Гражданин России»</w:t>
            </w:r>
          </w:p>
        </w:tc>
        <w:tc>
          <w:tcPr>
            <w:tcW w:w="2835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120816" w:rsidRPr="00D51A44" w:rsidTr="000429AF">
        <w:trPr>
          <w:trHeight w:val="70"/>
        </w:trPr>
        <w:tc>
          <w:tcPr>
            <w:tcW w:w="6771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Вахта памяти</w:t>
            </w:r>
          </w:p>
        </w:tc>
        <w:tc>
          <w:tcPr>
            <w:tcW w:w="2835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20816" w:rsidRPr="00D51A44" w:rsidTr="000429AF">
        <w:trPr>
          <w:trHeight w:val="70"/>
        </w:trPr>
        <w:tc>
          <w:tcPr>
            <w:tcW w:w="6771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  <w:tc>
          <w:tcPr>
            <w:tcW w:w="2835" w:type="dxa"/>
          </w:tcPr>
          <w:p w:rsidR="00120816" w:rsidRPr="00D51A44" w:rsidRDefault="00120816" w:rsidP="000429A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A44">
              <w:rPr>
                <w:rFonts w:ascii="Times New Roman" w:hAnsi="Times New Roman" w:cs="Times New Roman"/>
                <w:b/>
                <w:sz w:val="26"/>
                <w:szCs w:val="26"/>
              </w:rPr>
              <w:t>1180</w:t>
            </w:r>
          </w:p>
        </w:tc>
      </w:tr>
    </w:tbl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Было оказано содействие в проведении 20 мероприятий областного и городского уровней.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На базе были проведены городской слёт краеведов им. Пензенского краеведа О.М. Савина, городской фестиваль-конкурс хорового творчества «Как голос звонких родников», Городской фестиваль иностранного творчества, городской конкурс «Успешная семья – 2017», городской слёт краеведов им. Пензенского краеведа О.М. Савина, областной конкурс театральных коллективов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Сурская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весна», выставка декоративно – прикладного творчества и фольклорный фестиваль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Жавороночки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»,  областной фестиваль «Юные таланты за безопасность», областной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 конкурс КВН среди старшеклассников города Пензы «Семья - волшебный символ жизни».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Учащиеся Дворца творчества  принимали участие в мероприятиях, проведенны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51A44">
        <w:rPr>
          <w:rFonts w:ascii="Times New Roman" w:hAnsi="Times New Roman" w:cs="Times New Roman"/>
          <w:sz w:val="26"/>
          <w:szCs w:val="26"/>
        </w:rPr>
        <w:t xml:space="preserve"> в рамках муниципальных программ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приложение</w:t>
      </w:r>
      <w:r w:rsidRPr="00D51A44">
        <w:rPr>
          <w:rFonts w:ascii="Times New Roman" w:hAnsi="Times New Roman" w:cs="Times New Roman"/>
          <w:sz w:val="26"/>
          <w:szCs w:val="26"/>
        </w:rPr>
        <w:t xml:space="preserve"> 8):</w:t>
      </w:r>
    </w:p>
    <w:p w:rsidR="00120816" w:rsidRPr="00D51A44" w:rsidRDefault="00120816" w:rsidP="0012081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Муниципальном кластерном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проекте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«PRO движение»; </w:t>
      </w:r>
    </w:p>
    <w:p w:rsidR="00120816" w:rsidRPr="00D51A44" w:rsidRDefault="00120816" w:rsidP="0012081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Всероссийском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фестивале-конкурсе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«Магия искусства»;</w:t>
      </w:r>
    </w:p>
    <w:p w:rsidR="00120816" w:rsidRPr="00D51A44" w:rsidRDefault="00120816" w:rsidP="0012081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Международном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«Танцевальный олимп»;</w:t>
      </w:r>
    </w:p>
    <w:p w:rsidR="00120816" w:rsidRPr="00D51A44" w:rsidRDefault="00120816" w:rsidP="0012081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защит</w:t>
      </w:r>
      <w:r>
        <w:rPr>
          <w:rFonts w:ascii="Times New Roman" w:hAnsi="Times New Roman" w:cs="Times New Roman"/>
          <w:sz w:val="26"/>
          <w:szCs w:val="26"/>
        </w:rPr>
        <w:t xml:space="preserve">е проектов «Я </w:t>
      </w:r>
      <w:r w:rsidRPr="00D51A44">
        <w:rPr>
          <w:rFonts w:ascii="Times New Roman" w:hAnsi="Times New Roman" w:cs="Times New Roman"/>
          <w:sz w:val="26"/>
          <w:szCs w:val="26"/>
        </w:rPr>
        <w:t>гражданин России»;</w:t>
      </w:r>
    </w:p>
    <w:p w:rsidR="00120816" w:rsidRPr="00D51A44" w:rsidRDefault="00120816" w:rsidP="0012081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Российск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турнир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по танцевальному спорту «Стиль года-2017»;</w:t>
      </w:r>
    </w:p>
    <w:p w:rsidR="00120816" w:rsidRPr="00D51A44" w:rsidRDefault="00120816" w:rsidP="0012081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областно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фестивал</w:t>
      </w:r>
      <w:r>
        <w:rPr>
          <w:rFonts w:ascii="Times New Roman" w:hAnsi="Times New Roman" w:cs="Times New Roman"/>
          <w:sz w:val="26"/>
          <w:szCs w:val="26"/>
        </w:rPr>
        <w:t>е-</w:t>
      </w:r>
      <w:r w:rsidRPr="00D51A44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агитбригад «Ради жизни»;</w:t>
      </w:r>
    </w:p>
    <w:p w:rsidR="00120816" w:rsidRPr="00D51A44" w:rsidRDefault="00120816" w:rsidP="0012081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городски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соревнования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по картингу;</w:t>
      </w:r>
    </w:p>
    <w:p w:rsidR="00120816" w:rsidRPr="00D51A44" w:rsidRDefault="00120816" w:rsidP="00120816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51A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фестивал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51A44">
        <w:rPr>
          <w:rFonts w:ascii="Times New Roman" w:hAnsi="Times New Roman" w:cs="Times New Roman"/>
          <w:sz w:val="26"/>
          <w:szCs w:val="26"/>
        </w:rPr>
        <w:t>-конкурс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«Здравствуй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51A44">
        <w:rPr>
          <w:rFonts w:ascii="Times New Roman" w:hAnsi="Times New Roman" w:cs="Times New Roman"/>
          <w:sz w:val="26"/>
          <w:szCs w:val="26"/>
        </w:rPr>
        <w:t xml:space="preserve"> мир!».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Работа с родителями</w:t>
      </w:r>
    </w:p>
    <w:p w:rsidR="00120816" w:rsidRPr="00D51A44" w:rsidRDefault="00120816" w:rsidP="0012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2017  году педагогическим коллективом активно велась работа с родителями. </w:t>
      </w:r>
      <w:proofErr w:type="gramStart"/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Было проведено 2 общих родительских собрания, на которых обсуждались следующие  вопросы:  </w:t>
      </w:r>
      <w:proofErr w:type="gramEnd"/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цели и задачи на новый учебный год,</w:t>
      </w:r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пропускного режима,</w:t>
      </w:r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избрание родительского комитета Дворца,</w:t>
      </w:r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A44">
        <w:rPr>
          <w:rFonts w:ascii="Times New Roman" w:hAnsi="Times New Roman" w:cs="Times New Roman"/>
          <w:sz w:val="26"/>
          <w:szCs w:val="26"/>
        </w:rPr>
        <w:t>-</w:t>
      </w:r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совместная работа родителей и педагогов по профилактике вредных привычек среди подростков,</w:t>
      </w:r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участие родителей в совместных праздниках,</w:t>
      </w:r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отчёт о работе некоммерческой организации «Фонд </w:t>
      </w:r>
      <w:r w:rsidRPr="00D51A44">
        <w:rPr>
          <w:rFonts w:ascii="Times New Roman" w:hAnsi="Times New Roman" w:cs="Times New Roman"/>
          <w:sz w:val="26"/>
          <w:szCs w:val="26"/>
        </w:rPr>
        <w:t>развития и поддержки социальных и творческих инициатив «Взрослые и дети»,</w:t>
      </w:r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отчёт об использовании внебюджетных средств.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Проводились заседания родительского комитета и совместные заседания с Управляющим советом Д</w:t>
      </w:r>
      <w:proofErr w:type="gramStart"/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Д(</w:t>
      </w:r>
      <w:proofErr w:type="gramEnd"/>
      <w:r w:rsidRPr="00D51A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Ю)Т, на которых ставились вопросы о развитии платных образовательных услуг, о проведении праздничных мероприятий, посвященных 100-летию дополнительного образования.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color w:val="000000"/>
          <w:sz w:val="26"/>
          <w:szCs w:val="26"/>
        </w:rPr>
        <w:t xml:space="preserve">Родители – это надёжная опора для детских объединений и от их активного участия и заинтересованности во многом зависят успехи детских объединений. </w:t>
      </w:r>
    </w:p>
    <w:p w:rsidR="00120816" w:rsidRPr="00D51A44" w:rsidRDefault="00120816" w:rsidP="001208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1A44">
        <w:rPr>
          <w:rFonts w:ascii="Times New Roman" w:hAnsi="Times New Roman" w:cs="Times New Roman"/>
          <w:iCs/>
          <w:sz w:val="26"/>
          <w:szCs w:val="26"/>
        </w:rPr>
        <w:t xml:space="preserve">Дети </w:t>
      </w:r>
      <w:r w:rsidRPr="00D51A44">
        <w:rPr>
          <w:rFonts w:ascii="Times New Roman" w:hAnsi="Times New Roman" w:cs="Times New Roman"/>
          <w:color w:val="000000"/>
          <w:sz w:val="26"/>
          <w:szCs w:val="26"/>
        </w:rPr>
        <w:t>гордятся участием родителей в жизни объединений. Хорошей  традицией является проведение своеобразных творческих отчетов о совместной деятельности родителей и объединения. Такие встречи проводятся  на протяжении всего учебного года и являются своеобразным подведением итогов работы детских объединений.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На сегодняшний день сформирована определенная система работы с родителями, при помощи которой достигаются положительные результаты (родители из «наблюдателей» стали активными участниками встреч и помощниками педагога), сформирована среда взаимоуважения, терпения и понимания. Родители проявляют открытый интерес к жизни объединений, эмоционально поддерживают своих детей, радуются успехам и сопереживают неудачам, стали активнее посещать собрания, участвовать в мероприятиях Дворца.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С целью повышения педагогической культуры и просвещения родителей во Дворце творчества работает «Родительский всеобуч». В течение года проводились лекции для родителей по актуальным проблемам воспитания: «Возрастные кризисы детства», «Детские  страхи», «Трудный ребенок» и т.д.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Педагог-психолог ведет бюллетень «Уголок психолога», им разработаны темы: «Опасные родительские директивы», «Памятка родителям от ребенка», «Как преодолеть трудности», «Как быть счастливым человеком», «Короткие советы по воспитанию», «Трудный ребенок», «Человек и гормоны». Выпущены и распространены буклеты по профилактики детских суицидов «Давайте жить» и «Реальность, которая убивает. Памятка для родителей». На сайте учреждения ведется «страничка психолога»   и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онлайн-консультирование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в социальной сети «В контакте».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Специалистами методического центра проведено 4 лектория «Школы опекунов» на тему «Защитим права вместе» для опекунов (попечителей) и приемных родителей. Опекунам (попечителям), приемным родителям вручены буклеты по вопросам воспитания детей и защиты их прав.</w:t>
      </w: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Социальная активность и внешние связи учреждения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Дворец творчества играет большую роль в формировании единой, вариативной системы непрерывного образования. Налажены долгосрочные связи с  образовательными организациями высшего образования города с целью организации деятельности НОУ, исследования проблем дополнительного образования, реализации сетевых проектов организации образовательной деятельности.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lastRenderedPageBreak/>
        <w:t>Дворец творчества в учебно-исследовательской деятельности сотрудничает с Пензенским государственным университетом, с Пензенской государственной технологической академией. ВУЗы оказывают консультативную помощь в организации образовательного процесса, обеспечивают научное руководство исследовательской работы, принимают участие в организации и проведении конференций, направляют студентов старших курсов для прохождения производственной практики.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Организовано взаимодействие с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ЦМИТами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РеакторЛаб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НаноЭлектроЛаб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proofErr w:type="gramStart"/>
      <w:r w:rsidRPr="00D51A44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spellEnd"/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Рамеев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» и  «Татлин».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Заключены договора о сотрудничестве с  общественными  и иными организациями и учреждениями высшей школы: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ГБОУПО «Центр психолого-педагогической, медицинской и социальной помощи Пензенской области»;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РОО «Татарская национально-культурная автономия Пензенской области»; 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филиал Московского государственного университета технологий и управления им. К.Г. Разумовского (Первый казачий университет)»;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ГБОУПО «Губернский лицей-интернат для одаренных детей»;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ООО «Центр молодежного инновационного творчества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НаноЛаб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ГАОУДПО «Институт регионального развития Пензенской области»;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Пензенское региональное отделение Межрегиональной общественной организации ветеранов воздушно-десантных войск  и войск специального назначения «Союз десантников»;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Пензенское региональное представительство Международной общественной организации «Вымпел»;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ФГБОУ ВПО «Пензенский государственный университет»;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Учебный военный центр при Пензенском государственном университете;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ГАПОУПО «Пензенский многопрофильный колледж»;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ГБУПО «Пензенский пожарно-спасательный центр»;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ГАПУПО «Пензенский социально-педагогический колледж»;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РОО «Федерация дзюдо Пензенской области».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Заключены договора о сетевом взаимодействии с 23 общеобразовательными учреждениями.</w:t>
      </w:r>
    </w:p>
    <w:p w:rsidR="00120816" w:rsidRPr="00D51A44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>Финансово-экономическая деятельность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 дополнительного образования «</w:t>
      </w:r>
      <w:r>
        <w:rPr>
          <w:rFonts w:ascii="Times New Roman" w:hAnsi="Times New Roman" w:cs="Times New Roman"/>
          <w:sz w:val="26"/>
          <w:szCs w:val="26"/>
        </w:rPr>
        <w:t>Дворец детского (юношеского</w:t>
      </w:r>
      <w:r w:rsidRPr="00D51A44">
        <w:rPr>
          <w:rFonts w:ascii="Times New Roman" w:hAnsi="Times New Roman" w:cs="Times New Roman"/>
          <w:sz w:val="26"/>
          <w:szCs w:val="26"/>
        </w:rPr>
        <w:t xml:space="preserve">) творчества» 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. Пензы  финансируется из местного бюджета. Учредитель, в лице Управления образования города Пензы, финансирует образовательную деятельность учреждения, согласно утвержденному плану финансово-хозяйственной деятельности.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Учреждение осуществляет свою деятельность в соответствии с предметом и целями деятельности, определенными федеральными законами и уставом.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   Доходы бюджетного учреждения поступают в его самостоятельное распоряжение и используются им для достижения цели, ради  которой оно создано, если иное не предусмотрено законом.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  Учреждение обеспечивает эффективное использование финансовых средств, переданных для осуществления уставной деятельности и представляет Учредителю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необходимые документы для осуществления им полномочий по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деятельностью учреждения.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  Учреждение самостоятельно распоряжаются в соответствии с законодательством Российской Федерации средствами, полученными за счет  аренды, оказания платных услуг, безвозмездных поступлений. 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    Доходы учреждения за 2017 год: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местный бюджет – 62760621,53;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-внебюджетные средства – 3004158,36;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аренда, доход от платных образовательных услуг,  добровольные пожертвования и др. доходы.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  Расходы учреждения – местный бюджет составили: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заработная плата и начисления на выплаты по оплате труда  – 56974467,94;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услуги связи – 45864,63;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коммунальные услуги – 3259131,10;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работы и услуги по содержанию имущества (вывоз ТБО, дератизация, тех. обслуживание тревожной кнопки, приборов учета и др. услуги) – 423480;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прочие работы и услуги (охрана объекта, утилизация отходов, медосмотр сотрудников, курсы повышения квалификации и др. услуги) – 325922,05;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прочие налоги (имущество, 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земельный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  и другие налоги) – 1707267,81;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приобретение материальных запасов (запчасти, бензин, моющие средства канцтовары и другие расходы) - 24488.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  Расходы учреждения –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внебюджет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составили: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заработная плата и начисления на выплаты по оплате труда  848327,51;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услуги связи – 134627,63;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транспортные услуги - 3082;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коммунальные услуги – 252246,93;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работы и услуги по содержанию имущества (ремонтные работы, ремонт оборудования и другие услуги) – 233254,74;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прочие работы и услуги (информационные услуги, страхование автотранспорта, повышение квалификации сотрудников  и другие услуги) -215533,40;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призы, подарки для мероприятий, госпошлина, налоги - 55827;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- основные средства (спортинвентарь, оргтехника, оборудование, мебель и другие средства) – 399504,70;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- моющие и дезинфицирующие средства, строительные и хозяйственные материалы, канцтовары, медикаменты, вода питьевая и одноразовая посуда, и другие средства – 899752,51;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Новая социально-экономическая ситуация и расширение хозяйственной самостоятельности требуют нового подхода к формированию финансовых средств на развитие учреждения. Привлечение внебюджетных источников финансирования является для нас приоритетной задачей. В настоящее время получение дополнительных средств возможно благодаря оказанию дополнительных платных образовательных услуг, которые необходимо развивать и совершенствовать в дальнейшем.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 xml:space="preserve">  потребителем учреждения дополнительных платных образовательных услуг позволит из года в год улучшить экономическую эффективность учреждения.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lastRenderedPageBreak/>
        <w:t xml:space="preserve">     Средства от платных услуг направляются на улучшение и развитие материально-технической базы учреждения в условиях экономии бюджетных средств.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51A4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D51A4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Организация дополнительных платных образовательных услуг </w:t>
      </w:r>
      <w:r w:rsidRPr="00D51A44">
        <w:rPr>
          <w:rFonts w:ascii="Times New Roman" w:eastAsia="Calibri" w:hAnsi="Times New Roman" w:cs="Times New Roman"/>
          <w:sz w:val="26"/>
          <w:szCs w:val="26"/>
        </w:rPr>
        <w:t>в образовательных учреждениях – результат последовательного решения федеральных и региональных задач в области образования с целью его модернизации</w:t>
      </w:r>
      <w:r w:rsidRPr="00D51A44">
        <w:rPr>
          <w:rFonts w:ascii="Times New Roman" w:eastAsia="Calibri" w:hAnsi="Times New Roman" w:cs="Times New Roman"/>
          <w:b/>
          <w:i/>
          <w:sz w:val="26"/>
          <w:szCs w:val="26"/>
        </w:rPr>
        <w:t>.</w:t>
      </w:r>
    </w:p>
    <w:p w:rsidR="00120816" w:rsidRPr="00D51A44" w:rsidRDefault="00120816" w:rsidP="00120816">
      <w:pPr>
        <w:pStyle w:val="ae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A44">
        <w:rPr>
          <w:rFonts w:ascii="Times New Roman" w:eastAsia="Calibri" w:hAnsi="Times New Roman" w:cs="Times New Roman"/>
          <w:sz w:val="26"/>
          <w:szCs w:val="26"/>
        </w:rPr>
        <w:t>Предоставление платных дополнительных образовательных услуг в Д</w:t>
      </w:r>
      <w:proofErr w:type="gramStart"/>
      <w:r w:rsidRPr="00D51A44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eastAsia="Calibri" w:hAnsi="Times New Roman" w:cs="Times New Roman"/>
          <w:sz w:val="26"/>
          <w:szCs w:val="26"/>
        </w:rPr>
        <w:t>Ю)Т решает</w:t>
      </w:r>
      <w:r w:rsidRPr="00D51A44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Pr="00D51A44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120816" w:rsidRPr="00D51A44" w:rsidRDefault="00120816" w:rsidP="00120816">
      <w:pPr>
        <w:pStyle w:val="a4"/>
        <w:widowControl w:val="0"/>
        <w:numPr>
          <w:ilvl w:val="0"/>
          <w:numId w:val="22"/>
        </w:numPr>
        <w:tabs>
          <w:tab w:val="left" w:pos="128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A44">
        <w:rPr>
          <w:rFonts w:ascii="Times New Roman" w:eastAsia="Calibri" w:hAnsi="Times New Roman" w:cs="Times New Roman"/>
          <w:sz w:val="26"/>
          <w:szCs w:val="26"/>
        </w:rPr>
        <w:t>наиболее полного удовлетворения потребностей населения во всестороннем развитии детей, их индивидуальных способностей и</w:t>
      </w:r>
      <w:r w:rsidRPr="00D51A44">
        <w:rPr>
          <w:rFonts w:ascii="Times New Roman" w:eastAsia="Calibri" w:hAnsi="Times New Roman" w:cs="Times New Roman"/>
          <w:spacing w:val="-12"/>
          <w:sz w:val="26"/>
          <w:szCs w:val="26"/>
        </w:rPr>
        <w:t xml:space="preserve"> </w:t>
      </w:r>
      <w:r w:rsidRPr="00D51A44">
        <w:rPr>
          <w:rFonts w:ascii="Times New Roman" w:eastAsia="Calibri" w:hAnsi="Times New Roman" w:cs="Times New Roman"/>
          <w:sz w:val="26"/>
          <w:szCs w:val="26"/>
        </w:rPr>
        <w:t>интересов.</w:t>
      </w:r>
    </w:p>
    <w:p w:rsidR="00120816" w:rsidRPr="00D51A44" w:rsidRDefault="00120816" w:rsidP="00120816">
      <w:pPr>
        <w:pStyle w:val="a4"/>
        <w:widowControl w:val="0"/>
        <w:numPr>
          <w:ilvl w:val="0"/>
          <w:numId w:val="22"/>
        </w:numPr>
        <w:tabs>
          <w:tab w:val="left" w:pos="13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A44">
        <w:rPr>
          <w:rFonts w:ascii="Times New Roman" w:eastAsia="Calibri" w:hAnsi="Times New Roman" w:cs="Times New Roman"/>
          <w:sz w:val="26"/>
          <w:szCs w:val="26"/>
        </w:rPr>
        <w:t>привлечения средств из дополнительных источников финансирования на развитие материальной базы и повышения заработной платы</w:t>
      </w:r>
      <w:r w:rsidRPr="00D51A44">
        <w:rPr>
          <w:rFonts w:ascii="Times New Roman" w:eastAsia="Calibri" w:hAnsi="Times New Roman" w:cs="Times New Roman"/>
          <w:spacing w:val="-13"/>
          <w:sz w:val="26"/>
          <w:szCs w:val="26"/>
        </w:rPr>
        <w:t xml:space="preserve"> </w:t>
      </w:r>
      <w:r w:rsidRPr="00D51A44">
        <w:rPr>
          <w:rFonts w:ascii="Times New Roman" w:eastAsia="Calibri" w:hAnsi="Times New Roman" w:cs="Times New Roman"/>
          <w:sz w:val="26"/>
          <w:szCs w:val="26"/>
        </w:rPr>
        <w:t>сотрудникам.</w:t>
      </w:r>
    </w:p>
    <w:p w:rsidR="00120816" w:rsidRPr="00D51A44" w:rsidRDefault="00120816" w:rsidP="00120816">
      <w:pPr>
        <w:pStyle w:val="a4"/>
        <w:widowControl w:val="0"/>
        <w:numPr>
          <w:ilvl w:val="0"/>
          <w:numId w:val="22"/>
        </w:numPr>
        <w:tabs>
          <w:tab w:val="left" w:pos="128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A44">
        <w:rPr>
          <w:rFonts w:ascii="Times New Roman" w:eastAsia="Calibri" w:hAnsi="Times New Roman" w:cs="Times New Roman"/>
          <w:sz w:val="26"/>
          <w:szCs w:val="26"/>
        </w:rPr>
        <w:t>сохранения квалифицированных кадров путем повышения заработной платы и дополнительного стимулирования за выполнение работы по оказанию или организации платных услуг.</w:t>
      </w:r>
    </w:p>
    <w:p w:rsidR="00120816" w:rsidRPr="00D51A44" w:rsidRDefault="00120816" w:rsidP="00120816">
      <w:pPr>
        <w:pStyle w:val="ae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A44">
        <w:rPr>
          <w:rFonts w:ascii="Times New Roman" w:eastAsia="Calibri" w:hAnsi="Times New Roman" w:cs="Times New Roman"/>
          <w:sz w:val="26"/>
          <w:szCs w:val="26"/>
        </w:rPr>
        <w:t>Успех решения этих непростых задач зависит от взаимоотношения администрации нашего учреждения с коллективом, понимания всеми сотрудниками необходимости оказания платных услуг и личной ответственности каждого. В этом году значительно увеличился объем оказываемых платных дополнительных услуг, возросла заинтересованность педагогов в данной сфере.</w:t>
      </w:r>
    </w:p>
    <w:p w:rsidR="00120816" w:rsidRPr="00D51A44" w:rsidRDefault="00120816" w:rsidP="00120816">
      <w:pPr>
        <w:pStyle w:val="ae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A44">
        <w:rPr>
          <w:rFonts w:ascii="Times New Roman" w:eastAsia="Calibri" w:hAnsi="Times New Roman" w:cs="Times New Roman"/>
          <w:sz w:val="26"/>
          <w:szCs w:val="26"/>
        </w:rPr>
        <w:t>В деятельности по организации платных услуг Д</w:t>
      </w:r>
      <w:proofErr w:type="gramStart"/>
      <w:r w:rsidRPr="00D51A44">
        <w:rPr>
          <w:rFonts w:ascii="Times New Roman" w:eastAsia="Calibri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eastAsia="Calibri" w:hAnsi="Times New Roman" w:cs="Times New Roman"/>
          <w:sz w:val="26"/>
          <w:szCs w:val="26"/>
        </w:rPr>
        <w:t>Ю)Т руководствуется Законами РФ «Об образовании в Российской Федерации», «О защите прав потребителей», Постановлением Правительства РФ от 15 августа 2013 г. № 706 «Об утверждении Правил оказания платных образовательных услуг», Уставом ДД(Ю)Т, локальным актом « Положение об оказании платных образовательных  и иных услуг».</w:t>
      </w:r>
    </w:p>
    <w:p w:rsidR="00120816" w:rsidRPr="00D51A44" w:rsidRDefault="00120816" w:rsidP="00120816">
      <w:pPr>
        <w:pStyle w:val="ae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A44">
        <w:rPr>
          <w:rFonts w:ascii="Times New Roman" w:eastAsia="Calibri" w:hAnsi="Times New Roman" w:cs="Times New Roman"/>
          <w:sz w:val="26"/>
          <w:szCs w:val="26"/>
        </w:rPr>
        <w:t>Платные услуги не могут представляться взамен или в рамках основных образовательных программ, финансируемых из бюджета учредителем, а их цена устанавливается по соглашению сторон, виды и формы услуг определяются Уставом и локальными актами.</w:t>
      </w:r>
    </w:p>
    <w:p w:rsidR="00120816" w:rsidRPr="00D51A44" w:rsidRDefault="00120816" w:rsidP="00120816">
      <w:pPr>
        <w:pStyle w:val="ae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51A44">
        <w:rPr>
          <w:rFonts w:ascii="Times New Roman" w:eastAsia="Calibri" w:hAnsi="Times New Roman" w:cs="Times New Roman"/>
          <w:sz w:val="26"/>
          <w:szCs w:val="26"/>
        </w:rPr>
        <w:t>В учреждении в 2017 году предоставлялись платные дополнительные образовательные услуги по трем направленностям – художественной, физкультурно-спортивной, социально-педагогической.</w:t>
      </w:r>
      <w:proofErr w:type="gramEnd"/>
      <w:r w:rsidRPr="00D51A44">
        <w:rPr>
          <w:rFonts w:ascii="Times New Roman" w:eastAsia="Calibri" w:hAnsi="Times New Roman" w:cs="Times New Roman"/>
          <w:sz w:val="26"/>
          <w:szCs w:val="26"/>
        </w:rPr>
        <w:t xml:space="preserve"> Всего реализовывалось 19 платных образовательных программ, востребованных дошкольниками и   молодежью старше 18 лет, как в форме группового обучения, так и индивидуального.  Дополнительными платными образовательными услугами было охвачено 287 человек, что превышает показатель прошлого года в два раза.  Постановлением  Администрации  города  Пензы утверждены тарифы, которыми руководствуется учреждение при оказании платных образовательных услуг. Стоимость 1 занятия составила от 75 до 500 рублей</w:t>
      </w:r>
      <w:r w:rsidRPr="00D51A44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в зависимости от направленности, продолжительности программы и формы обучения.</w:t>
      </w:r>
    </w:p>
    <w:p w:rsidR="00120816" w:rsidRPr="00D51A44" w:rsidRDefault="00120816" w:rsidP="00120816">
      <w:pPr>
        <w:pStyle w:val="ae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1A44">
        <w:rPr>
          <w:rFonts w:ascii="Times New Roman" w:eastAsia="Calibri" w:hAnsi="Times New Roman" w:cs="Times New Roman"/>
          <w:sz w:val="26"/>
          <w:szCs w:val="26"/>
        </w:rPr>
        <w:t>Оказание дополнительных платных услуг на сегодняшний день становится неотъемлемой частью работы образовательного учреждения. Введение такой деятельности предполагает системную работу и большую ответственность перед заказчиками, т.е. родителями, учащимися, общественность.</w:t>
      </w:r>
    </w:p>
    <w:p w:rsidR="00120816" w:rsidRPr="00D51A44" w:rsidRDefault="00120816" w:rsidP="00120816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питания и медицинского обслуживания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Питание учащихся в 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Ю)Т осуществляется в помещении, находящемся в основном здании учреждения (ул.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Бекешская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, 14).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Питание учащихся организовано через буфет учреждения, который предназначен для реализации мучных кондитерских и булочных изделий, пищевых продуктов в потребительской упаковке, в условиях свободного выбора, и в соответствии, с рекомендуемым санитарными правилами, ассортиментом дополнительного питания. Также есть возможность заказа горячего обеда, по предварительной записи.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Расписание занятий предусматривает перерыв достаточной продолжительности для питания учащихся.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Для организации питания в Д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>Ю)Т заключён договор с ООО «Удача».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Доставка пищевых продуктов осуществляется специализированным транспортом, имеющий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 учреждении оборудовано помещение, соответствующее условиям и требованиям, для осуществления медицинской деятельности (ул. Островского, 9), работает медицинская сестра.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Медицинское обслуживание учащихся включает в себя: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• оказание первичной медико-санитарной помощи в порядке, установленном законодательством в сфере охраны здоровья;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• пропаганду и обучение навыкам здорового образа жизни;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• организацию и создание условий для профилактики заболеваний и оздоровления о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• профилактику и запрещение курения, употребления алкогольных напитков, пива, наркотических средств и психотропных веществ и других одурманивающих веществ;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• обеспечение безопасности учащихся во время пребывания в учреждении, осуществляющего образовательную деятельность;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• профилактику несчастных случаев с учащимися во время пребывания в учреждении;</w:t>
      </w:r>
    </w:p>
    <w:p w:rsidR="00120816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 • проведение санитарно-противоэпидемических и профилактических мероприятий</w:t>
      </w:r>
    </w:p>
    <w:p w:rsidR="00120816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A44">
        <w:rPr>
          <w:rFonts w:ascii="Times New Roman" w:hAnsi="Times New Roman" w:cs="Times New Roman"/>
          <w:b/>
          <w:sz w:val="26"/>
          <w:szCs w:val="26"/>
        </w:rPr>
        <w:t xml:space="preserve">Административно-хозяйственная деятельность </w:t>
      </w:r>
    </w:p>
    <w:p w:rsidR="00120816" w:rsidRPr="00D51A44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  2017  учебном  году  в системе проводилась работа  по благоустройству  территории  (уборка  снега,  посыпка  дорожек,  покос  травы, уборка  мусора).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Велись  работы  по  поддержанию  в  работоспособном состоянии систем водоснабжения, теплоснабжения, электроснабжения. 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За  прошедший    год  были  отремонтированы  пандусы, </w:t>
      </w:r>
      <w:proofErr w:type="spellStart"/>
      <w:r w:rsidRPr="00D51A44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D51A44">
        <w:rPr>
          <w:rFonts w:ascii="Times New Roman" w:hAnsi="Times New Roman" w:cs="Times New Roman"/>
          <w:sz w:val="26"/>
          <w:szCs w:val="26"/>
        </w:rPr>
        <w:t>,  трибуны  флагштока,  покрашены  стены  в фойе, коридорах  и  учебных кабинетах  (общей  площадью  более 600 кв</w:t>
      </w:r>
      <w:proofErr w:type="gramStart"/>
      <w:r w:rsidRPr="00D51A4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51A44">
        <w:rPr>
          <w:rFonts w:ascii="Times New Roman" w:hAnsi="Times New Roman" w:cs="Times New Roman"/>
          <w:sz w:val="26"/>
          <w:szCs w:val="26"/>
        </w:rPr>
        <w:t xml:space="preserve">),  отремонтированы  и  заменены осветительные  приборы,  восстановлена  электропроводка,  заменены  ветхие участки </w:t>
      </w:r>
      <w:r w:rsidRPr="00D51A44">
        <w:rPr>
          <w:rFonts w:ascii="Times New Roman" w:hAnsi="Times New Roman" w:cs="Times New Roman"/>
          <w:sz w:val="26"/>
          <w:szCs w:val="26"/>
        </w:rPr>
        <w:lastRenderedPageBreak/>
        <w:t xml:space="preserve">водопроводных сетей, витражные и оконные стекла.  Выполнен   ремонт  в  кабинетах № 12, 33, 55, установлены LED светильники в кабинетах № 12, 16, 33, коридоре 2 этажа.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 xml:space="preserve">Заменены входные группы и дверные блоки двух запасных выходов. Установлены оконные блоки ПВХ в кабинетах № 11,12, 21, 26, 30, кабинетах бухгалтерии и заместителя директора.  </w:t>
      </w:r>
    </w:p>
    <w:p w:rsidR="00120816" w:rsidRPr="00D51A44" w:rsidRDefault="00120816" w:rsidP="0012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Pr="00064AD3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AD3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120816" w:rsidRPr="00064AD3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Pr="00064AD3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D3">
        <w:rPr>
          <w:rFonts w:ascii="Times New Roman" w:hAnsi="Times New Roman" w:cs="Times New Roman"/>
          <w:b/>
          <w:sz w:val="24"/>
          <w:szCs w:val="24"/>
        </w:rPr>
        <w:t xml:space="preserve">Распределение детских объединений, </w:t>
      </w:r>
    </w:p>
    <w:p w:rsidR="00120816" w:rsidRPr="00064AD3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D3">
        <w:rPr>
          <w:rFonts w:ascii="Times New Roman" w:hAnsi="Times New Roman" w:cs="Times New Roman"/>
          <w:b/>
          <w:sz w:val="24"/>
          <w:szCs w:val="24"/>
        </w:rPr>
        <w:t>учащихся по отделам в 2017 году</w:t>
      </w:r>
    </w:p>
    <w:p w:rsidR="00120816" w:rsidRPr="00064AD3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816" w:rsidRPr="00064AD3" w:rsidRDefault="00120816" w:rsidP="00120816">
      <w:pPr>
        <w:tabs>
          <w:tab w:val="left" w:pos="132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детских объединений по отделам</w:t>
      </w:r>
    </w:p>
    <w:p w:rsidR="00120816" w:rsidRPr="00064AD3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6450" cy="29051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0816" w:rsidRPr="00064AD3" w:rsidRDefault="00120816" w:rsidP="00120816">
      <w:pPr>
        <w:rPr>
          <w:sz w:val="24"/>
          <w:szCs w:val="24"/>
        </w:rPr>
      </w:pPr>
    </w:p>
    <w:p w:rsidR="00120816" w:rsidRPr="00064AD3" w:rsidRDefault="00120816" w:rsidP="0012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4AD3">
        <w:rPr>
          <w:rFonts w:ascii="Times New Roman" w:hAnsi="Times New Roman" w:cs="Times New Roman"/>
          <w:b/>
          <w:i/>
          <w:sz w:val="24"/>
          <w:szCs w:val="24"/>
        </w:rPr>
        <w:t>Распределение учащихся по полу по отделам</w:t>
      </w:r>
    </w:p>
    <w:p w:rsidR="00120816" w:rsidRPr="00064AD3" w:rsidRDefault="00120816" w:rsidP="00120816">
      <w:pPr>
        <w:jc w:val="center"/>
        <w:rPr>
          <w:sz w:val="24"/>
          <w:szCs w:val="24"/>
        </w:rPr>
      </w:pPr>
      <w:r w:rsidRPr="00064AD3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129228"/>
            <wp:effectExtent l="19050" t="0" r="22225" b="4622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0816" w:rsidRDefault="00120816" w:rsidP="0012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0816" w:rsidRPr="00064AD3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4AD3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Распределение учащихся по полу по отделам (</w:t>
      </w:r>
      <w:proofErr w:type="gramStart"/>
      <w:r w:rsidRPr="00064AD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064AD3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120816" w:rsidRDefault="00120816" w:rsidP="00120816">
      <w:pPr>
        <w:spacing w:after="0" w:line="240" w:lineRule="auto"/>
        <w:jc w:val="center"/>
        <w:rPr>
          <w:sz w:val="24"/>
          <w:szCs w:val="24"/>
        </w:rPr>
      </w:pPr>
    </w:p>
    <w:p w:rsidR="00120816" w:rsidRDefault="00120816" w:rsidP="00120816">
      <w:pPr>
        <w:spacing w:after="0" w:line="240" w:lineRule="auto"/>
        <w:jc w:val="center"/>
        <w:rPr>
          <w:sz w:val="24"/>
          <w:szCs w:val="24"/>
        </w:rPr>
      </w:pPr>
      <w:r w:rsidRPr="00064AD3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849596"/>
            <wp:effectExtent l="19050" t="0" r="222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816" w:rsidRDefault="00120816" w:rsidP="00120816">
      <w:pPr>
        <w:spacing w:after="0" w:line="240" w:lineRule="auto"/>
        <w:jc w:val="center"/>
        <w:rPr>
          <w:sz w:val="24"/>
          <w:szCs w:val="24"/>
        </w:rPr>
      </w:pPr>
    </w:p>
    <w:p w:rsidR="00120816" w:rsidRPr="00064AD3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A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контингента учащихся</w:t>
      </w: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816" w:rsidRPr="00064AD3" w:rsidRDefault="00120816" w:rsidP="00120816">
      <w:pPr>
        <w:tabs>
          <w:tab w:val="left" w:pos="1815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контингента учащихся по полу</w:t>
      </w:r>
    </w:p>
    <w:p w:rsidR="00120816" w:rsidRDefault="00120816" w:rsidP="00120816">
      <w:pPr>
        <w:tabs>
          <w:tab w:val="left" w:pos="1815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D47B2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62475" cy="1847850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816" w:rsidRDefault="00120816" w:rsidP="00120816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контингента учащихся по возрасту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21621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0816" w:rsidRPr="00064AD3" w:rsidRDefault="00120816" w:rsidP="00120816">
      <w:pPr>
        <w:tabs>
          <w:tab w:val="left" w:pos="104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D3">
        <w:rPr>
          <w:rFonts w:ascii="Times New Roman" w:hAnsi="Times New Roman" w:cs="Times New Roman"/>
          <w:b/>
          <w:sz w:val="24"/>
          <w:szCs w:val="24"/>
        </w:rPr>
        <w:t>Состав Контингента учащихся по социальному положению</w:t>
      </w:r>
    </w:p>
    <w:p w:rsidR="00120816" w:rsidRPr="00064AD3" w:rsidRDefault="00120816" w:rsidP="00120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442" cy="3077883"/>
            <wp:effectExtent l="19050" t="0" r="20208" b="8217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0816" w:rsidRPr="00120816" w:rsidRDefault="00120816" w:rsidP="00120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A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3. </w:t>
      </w: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Сохранность контингента учащихся</w:t>
      </w:r>
    </w:p>
    <w:p w:rsidR="00120816" w:rsidRDefault="00120816" w:rsidP="0012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127"/>
      </w:tblGrid>
      <w:tr w:rsidR="00120816" w:rsidTr="000429AF">
        <w:tc>
          <w:tcPr>
            <w:tcW w:w="393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Укомплектованность </w:t>
            </w:r>
          </w:p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2127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Сохранность</w:t>
            </w:r>
          </w:p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контингента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художественного творчества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90.7%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спортивно-оздоровительной работы и туризма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99.4%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98.2%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естественнонаучного и технического творчества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92.4%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98.2%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</w:t>
            </w: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98.7%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подготовки к военной службе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ДД(Ю)Т г</w:t>
            </w:r>
            <w:proofErr w:type="gramStart"/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ензы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98.7%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95.6%</w:t>
            </w:r>
          </w:p>
        </w:tc>
      </w:tr>
    </w:tbl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0816" w:rsidRPr="00A66F03" w:rsidRDefault="00120816" w:rsidP="001208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F0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20816" w:rsidRDefault="00120816" w:rsidP="001208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Ю)Т в 2017 учебном году</w:t>
      </w:r>
    </w:p>
    <w:p w:rsidR="00120816" w:rsidRDefault="00120816" w:rsidP="00120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79C">
        <w:rPr>
          <w:rFonts w:ascii="Times New Roman" w:hAnsi="Times New Roman" w:cs="Times New Roman"/>
          <w:sz w:val="28"/>
          <w:szCs w:val="28"/>
        </w:rPr>
        <w:t>Образовательная деятельность ведется по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9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B0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79C">
        <w:rPr>
          <w:rFonts w:ascii="Times New Roman" w:hAnsi="Times New Roman" w:cs="Times New Roman"/>
          <w:sz w:val="28"/>
          <w:szCs w:val="28"/>
        </w:rPr>
        <w:t>общеразвивающ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1B07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ам 6 направленностей: </w:t>
      </w:r>
    </w:p>
    <w:tbl>
      <w:tblPr>
        <w:tblStyle w:val="a3"/>
        <w:tblpPr w:leftFromText="180" w:rightFromText="180" w:vertAnchor="page" w:horzAnchor="margin" w:tblpY="3706"/>
        <w:tblW w:w="5000" w:type="pct"/>
        <w:tblLook w:val="04A0"/>
      </w:tblPr>
      <w:tblGrid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120816" w:rsidRPr="001B079C" w:rsidTr="000429AF">
        <w:tc>
          <w:tcPr>
            <w:tcW w:w="682" w:type="pct"/>
            <w:gridSpan w:val="3"/>
          </w:tcPr>
          <w:p w:rsidR="00120816" w:rsidRPr="001B079C" w:rsidRDefault="00120816" w:rsidP="0004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По уровням освоения</w:t>
            </w:r>
          </w:p>
        </w:tc>
        <w:tc>
          <w:tcPr>
            <w:tcW w:w="909" w:type="pct"/>
            <w:gridSpan w:val="4"/>
          </w:tcPr>
          <w:p w:rsidR="00120816" w:rsidRPr="001B079C" w:rsidRDefault="00120816" w:rsidP="0004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По формам организации содержания</w:t>
            </w:r>
          </w:p>
        </w:tc>
        <w:tc>
          <w:tcPr>
            <w:tcW w:w="682" w:type="pct"/>
            <w:gridSpan w:val="3"/>
          </w:tcPr>
          <w:p w:rsidR="00120816" w:rsidRPr="001B079C" w:rsidRDefault="00120816" w:rsidP="0004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По авторскому вкладу</w:t>
            </w:r>
          </w:p>
        </w:tc>
        <w:tc>
          <w:tcPr>
            <w:tcW w:w="1136" w:type="pct"/>
            <w:gridSpan w:val="5"/>
          </w:tcPr>
          <w:p w:rsidR="00120816" w:rsidRPr="001B079C" w:rsidRDefault="00120816" w:rsidP="0004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Рассчитанных на</w:t>
            </w:r>
          </w:p>
        </w:tc>
        <w:tc>
          <w:tcPr>
            <w:tcW w:w="1591" w:type="pct"/>
            <w:gridSpan w:val="7"/>
          </w:tcPr>
          <w:p w:rsidR="00120816" w:rsidRPr="001B079C" w:rsidRDefault="00120816" w:rsidP="0004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По образовательным областям</w:t>
            </w:r>
          </w:p>
        </w:tc>
      </w:tr>
      <w:tr w:rsidR="00120816" w:rsidRPr="001B079C" w:rsidTr="000429AF">
        <w:trPr>
          <w:cantSplit/>
          <w:trHeight w:val="2703"/>
        </w:trPr>
        <w:tc>
          <w:tcPr>
            <w:tcW w:w="227" w:type="pct"/>
            <w:tcBorders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ознакомительный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комплесные</w:t>
            </w:r>
            <w:proofErr w:type="spellEnd"/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модульные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многопрофильные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однопрофильные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авторские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эксперементальные</w:t>
            </w:r>
            <w:proofErr w:type="spellEnd"/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модифицированные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1-2 года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3 года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6 и более лет</w:t>
            </w:r>
          </w:p>
        </w:tc>
        <w:tc>
          <w:tcPr>
            <w:tcW w:w="227" w:type="pct"/>
            <w:tcBorders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Туристко-краеведческая</w:t>
            </w:r>
            <w:proofErr w:type="spellEnd"/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120816" w:rsidRPr="001B079C" w:rsidRDefault="00120816" w:rsidP="000429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Дистанционного обучения</w:t>
            </w:r>
          </w:p>
        </w:tc>
      </w:tr>
      <w:tr w:rsidR="00120816" w:rsidRPr="001B079C" w:rsidTr="000429AF">
        <w:tc>
          <w:tcPr>
            <w:tcW w:w="227" w:type="pct"/>
            <w:tcBorders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16" w:rsidRPr="001B079C" w:rsidRDefault="00120816" w:rsidP="000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120816" w:rsidRDefault="00120816" w:rsidP="0012081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204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120816" w:rsidRPr="001B079C" w:rsidTr="000429AF">
        <w:tc>
          <w:tcPr>
            <w:tcW w:w="1148" w:type="pct"/>
            <w:vMerge w:val="restart"/>
          </w:tcPr>
          <w:p w:rsidR="00120816" w:rsidRPr="008D4D06" w:rsidRDefault="00120816" w:rsidP="000429AF">
            <w:pPr>
              <w:tabs>
                <w:tab w:val="left" w:pos="12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направленность</w:t>
            </w:r>
          </w:p>
        </w:tc>
        <w:tc>
          <w:tcPr>
            <w:tcW w:w="770" w:type="pct"/>
            <w:gridSpan w:val="3"/>
          </w:tcPr>
          <w:p w:rsidR="00120816" w:rsidRPr="008D4D06" w:rsidRDefault="00120816" w:rsidP="000429AF">
            <w:pPr>
              <w:tabs>
                <w:tab w:val="left" w:pos="12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По уровням освоения</w:t>
            </w:r>
          </w:p>
        </w:tc>
        <w:tc>
          <w:tcPr>
            <w:tcW w:w="1008" w:type="pct"/>
            <w:gridSpan w:val="4"/>
          </w:tcPr>
          <w:p w:rsidR="00120816" w:rsidRPr="008D4D06" w:rsidRDefault="00120816" w:rsidP="000429AF">
            <w:pPr>
              <w:tabs>
                <w:tab w:val="left" w:pos="12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По формам организации содержания</w:t>
            </w:r>
          </w:p>
        </w:tc>
        <w:tc>
          <w:tcPr>
            <w:tcW w:w="769" w:type="pct"/>
            <w:gridSpan w:val="3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По авторскому вкладу</w:t>
            </w:r>
          </w:p>
        </w:tc>
        <w:tc>
          <w:tcPr>
            <w:tcW w:w="1305" w:type="pct"/>
            <w:gridSpan w:val="5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Рассчитанных на</w:t>
            </w:r>
          </w:p>
        </w:tc>
      </w:tr>
      <w:tr w:rsidR="00120816" w:rsidRPr="001B079C" w:rsidTr="000429AF">
        <w:trPr>
          <w:cantSplit/>
          <w:trHeight w:val="2313"/>
        </w:trPr>
        <w:tc>
          <w:tcPr>
            <w:tcW w:w="1148" w:type="pct"/>
            <w:vMerge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ознакомительный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базовый</w:t>
            </w:r>
          </w:p>
        </w:tc>
        <w:tc>
          <w:tcPr>
            <w:tcW w:w="267" w:type="pct"/>
            <w:tcBorders>
              <w:lef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углубленный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комплексные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модульные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многопрофильные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однопрофильные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авторские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D4D06">
              <w:rPr>
                <w:rFonts w:ascii="Times New Roman" w:hAnsi="Times New Roman" w:cs="Times New Roman"/>
                <w:b/>
                <w:sz w:val="24"/>
              </w:rPr>
              <w:t>эксперементальные</w:t>
            </w:r>
            <w:proofErr w:type="spellEnd"/>
          </w:p>
        </w:tc>
        <w:tc>
          <w:tcPr>
            <w:tcW w:w="266" w:type="pct"/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модифицированные</w:t>
            </w:r>
          </w:p>
        </w:tc>
        <w:tc>
          <w:tcPr>
            <w:tcW w:w="251" w:type="pct"/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1-2 года</w:t>
            </w:r>
          </w:p>
        </w:tc>
        <w:tc>
          <w:tcPr>
            <w:tcW w:w="251" w:type="pct"/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3 года</w:t>
            </w:r>
          </w:p>
        </w:tc>
        <w:tc>
          <w:tcPr>
            <w:tcW w:w="251" w:type="pct"/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4 года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5 лет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textDirection w:val="btLr"/>
          </w:tcPr>
          <w:p w:rsidR="00120816" w:rsidRPr="008D4D06" w:rsidRDefault="00120816" w:rsidP="000429AF">
            <w:pPr>
              <w:tabs>
                <w:tab w:val="left" w:pos="12133"/>
              </w:tabs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6 и более лет</w:t>
            </w:r>
          </w:p>
        </w:tc>
      </w:tr>
      <w:tr w:rsidR="00120816" w:rsidTr="000429AF">
        <w:tc>
          <w:tcPr>
            <w:tcW w:w="1148" w:type="pct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20816" w:rsidTr="000429AF">
        <w:tc>
          <w:tcPr>
            <w:tcW w:w="1148" w:type="pct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0816" w:rsidTr="000429AF">
        <w:tc>
          <w:tcPr>
            <w:tcW w:w="1148" w:type="pct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0816" w:rsidTr="000429AF">
        <w:tc>
          <w:tcPr>
            <w:tcW w:w="1148" w:type="pct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4D06">
              <w:rPr>
                <w:rFonts w:ascii="Times New Roman" w:hAnsi="Times New Roman" w:cs="Times New Roman"/>
                <w:sz w:val="24"/>
                <w:szCs w:val="20"/>
              </w:rPr>
              <w:t>Туристко-краеведческая</w:t>
            </w:r>
            <w:proofErr w:type="spellEnd"/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0816" w:rsidTr="000429AF">
        <w:tc>
          <w:tcPr>
            <w:tcW w:w="1148" w:type="pct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Физкультурно-спортивная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0816" w:rsidTr="000429AF">
        <w:tc>
          <w:tcPr>
            <w:tcW w:w="1148" w:type="pct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Социально-педагогическая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0816" w:rsidTr="000429AF">
        <w:tc>
          <w:tcPr>
            <w:tcW w:w="1148" w:type="pct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Дистанционное обучение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sz w:val="24"/>
              </w:rPr>
            </w:pPr>
            <w:r w:rsidRPr="008D4D0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20816" w:rsidRPr="001B079C" w:rsidTr="000429AF">
        <w:tc>
          <w:tcPr>
            <w:tcW w:w="1148" w:type="pct"/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00" w:type="pct"/>
            <w:tcBorders>
              <w:left w:val="single" w:sz="4" w:space="0" w:color="auto"/>
            </w:tcBorders>
          </w:tcPr>
          <w:p w:rsidR="00120816" w:rsidRPr="008D4D06" w:rsidRDefault="00120816" w:rsidP="000429AF">
            <w:pPr>
              <w:tabs>
                <w:tab w:val="left" w:pos="12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D4D0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120816" w:rsidRDefault="00120816" w:rsidP="00120816">
      <w:pPr>
        <w:tabs>
          <w:tab w:val="left" w:pos="32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16" w:rsidRPr="00D12055" w:rsidRDefault="00120816" w:rsidP="00120816">
      <w:pPr>
        <w:tabs>
          <w:tab w:val="left" w:pos="324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20816" w:rsidRPr="00D12055" w:rsidRDefault="00120816" w:rsidP="00120816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Сохранность контингента в 2017 году</w:t>
      </w:r>
    </w:p>
    <w:tbl>
      <w:tblPr>
        <w:tblStyle w:val="a3"/>
        <w:tblW w:w="0" w:type="auto"/>
        <w:tblLook w:val="04A0"/>
      </w:tblPr>
      <w:tblGrid>
        <w:gridCol w:w="3936"/>
        <w:gridCol w:w="2976"/>
        <w:gridCol w:w="2127"/>
      </w:tblGrid>
      <w:tr w:rsidR="00120816" w:rsidTr="000429AF">
        <w:tc>
          <w:tcPr>
            <w:tcW w:w="393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Укомплектованность </w:t>
            </w:r>
          </w:p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2127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Сохранность</w:t>
            </w:r>
          </w:p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контингента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художественного творчества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95,1%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90.7%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спортивно-оздоровительной работы и туризма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99.4%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98.2%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естественнонаучного и технического творчества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92.4%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98.2%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</w:t>
            </w: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98.7%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подготовки к военной службе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20816" w:rsidTr="000429AF">
        <w:tc>
          <w:tcPr>
            <w:tcW w:w="3936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ДД(Ю)Т г</w:t>
            </w:r>
            <w:proofErr w:type="gramStart"/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ензы</w:t>
            </w:r>
          </w:p>
        </w:tc>
        <w:tc>
          <w:tcPr>
            <w:tcW w:w="2976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98.7%</w:t>
            </w:r>
          </w:p>
        </w:tc>
        <w:tc>
          <w:tcPr>
            <w:tcW w:w="2127" w:type="dxa"/>
          </w:tcPr>
          <w:p w:rsidR="00120816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95.6%</w:t>
            </w:r>
          </w:p>
        </w:tc>
      </w:tr>
    </w:tbl>
    <w:p w:rsidR="00120816" w:rsidRDefault="00120816" w:rsidP="00120816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816" w:rsidRPr="00D12055" w:rsidRDefault="00120816" w:rsidP="00120816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промежуточной аттестации учащихся</w:t>
      </w:r>
    </w:p>
    <w:tbl>
      <w:tblPr>
        <w:tblStyle w:val="a3"/>
        <w:tblW w:w="0" w:type="auto"/>
        <w:tblLook w:val="04A0"/>
      </w:tblPr>
      <w:tblGrid>
        <w:gridCol w:w="3510"/>
        <w:gridCol w:w="2408"/>
        <w:gridCol w:w="1703"/>
        <w:gridCol w:w="1950"/>
      </w:tblGrid>
      <w:tr w:rsidR="00120816" w:rsidTr="000429AF">
        <w:trPr>
          <w:trHeight w:val="285"/>
        </w:trPr>
        <w:tc>
          <w:tcPr>
            <w:tcW w:w="3510" w:type="dxa"/>
            <w:vMerge w:val="restart"/>
            <w:tcBorders>
              <w:right w:val="nil"/>
            </w:tcBorders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gridSpan w:val="3"/>
          </w:tcPr>
          <w:p w:rsidR="00120816" w:rsidRDefault="00120816" w:rsidP="000429AF">
            <w:pPr>
              <w:tabs>
                <w:tab w:val="left" w:pos="15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освоения программы %</w:t>
            </w:r>
          </w:p>
        </w:tc>
      </w:tr>
      <w:tr w:rsidR="00120816" w:rsidTr="000429AF">
        <w:trPr>
          <w:trHeight w:val="345"/>
        </w:trPr>
        <w:tc>
          <w:tcPr>
            <w:tcW w:w="3510" w:type="dxa"/>
            <w:vMerge/>
            <w:tcBorders>
              <w:right w:val="nil"/>
            </w:tcBorders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50" w:type="dxa"/>
            <w:tcBorders>
              <w:top w:val="nil"/>
            </w:tcBorders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120816" w:rsidTr="000429AF">
        <w:tc>
          <w:tcPr>
            <w:tcW w:w="3510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художественного творчества</w:t>
            </w:r>
          </w:p>
        </w:tc>
        <w:tc>
          <w:tcPr>
            <w:tcW w:w="2408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3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50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120816" w:rsidTr="000429AF">
        <w:tc>
          <w:tcPr>
            <w:tcW w:w="3510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спортивно-оздоровительной работы и туризма</w:t>
            </w:r>
          </w:p>
        </w:tc>
        <w:tc>
          <w:tcPr>
            <w:tcW w:w="2408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3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0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120816" w:rsidTr="000429AF">
        <w:tc>
          <w:tcPr>
            <w:tcW w:w="3510" w:type="dxa"/>
          </w:tcPr>
          <w:p w:rsidR="00120816" w:rsidRPr="00A35DF1" w:rsidRDefault="00120816" w:rsidP="000429AF">
            <w:pPr>
              <w:tabs>
                <w:tab w:val="left" w:pos="132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естественнонаучного и технического творчества</w:t>
            </w:r>
          </w:p>
        </w:tc>
        <w:tc>
          <w:tcPr>
            <w:tcW w:w="2408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3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0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120816" w:rsidTr="000429AF">
        <w:tc>
          <w:tcPr>
            <w:tcW w:w="3510" w:type="dxa"/>
          </w:tcPr>
          <w:p w:rsidR="00120816" w:rsidRPr="00A35DF1" w:rsidRDefault="00120816" w:rsidP="000429AF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</w:t>
            </w: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</w:p>
        </w:tc>
        <w:tc>
          <w:tcPr>
            <w:tcW w:w="2408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3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50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20816" w:rsidTr="000429AF">
        <w:tc>
          <w:tcPr>
            <w:tcW w:w="3510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 и подготовки к военной службе</w:t>
            </w:r>
          </w:p>
        </w:tc>
        <w:tc>
          <w:tcPr>
            <w:tcW w:w="2408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3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0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120816" w:rsidTr="000429AF">
        <w:tc>
          <w:tcPr>
            <w:tcW w:w="3510" w:type="dxa"/>
          </w:tcPr>
          <w:p w:rsidR="00120816" w:rsidRPr="00A35DF1" w:rsidRDefault="00120816" w:rsidP="000429AF">
            <w:pPr>
              <w:tabs>
                <w:tab w:val="left" w:pos="3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ДД(Ю)Т г</w:t>
            </w:r>
            <w:proofErr w:type="gramStart"/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ензы</w:t>
            </w:r>
          </w:p>
        </w:tc>
        <w:tc>
          <w:tcPr>
            <w:tcW w:w="2408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3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50" w:type="dxa"/>
          </w:tcPr>
          <w:p w:rsidR="00120816" w:rsidRDefault="00120816" w:rsidP="000429A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120816" w:rsidRDefault="00120816" w:rsidP="0012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816" w:rsidRDefault="00120816">
      <w:pPr>
        <w:rPr>
          <w:rFonts w:ascii="Times New Roman" w:hAnsi="Times New Roman" w:cs="Times New Roman"/>
          <w:sz w:val="28"/>
          <w:szCs w:val="28"/>
        </w:rPr>
      </w:pPr>
    </w:p>
    <w:sectPr w:rsidR="00120816" w:rsidSect="003F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51F"/>
    <w:multiLevelType w:val="hybridMultilevel"/>
    <w:tmpl w:val="7D7A32EA"/>
    <w:lvl w:ilvl="0" w:tplc="72FCC39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524"/>
    <w:multiLevelType w:val="hybridMultilevel"/>
    <w:tmpl w:val="561E23D2"/>
    <w:lvl w:ilvl="0" w:tplc="6A80527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76802"/>
    <w:multiLevelType w:val="hybridMultilevel"/>
    <w:tmpl w:val="B2784F4E"/>
    <w:lvl w:ilvl="0" w:tplc="4008F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A55E5"/>
    <w:multiLevelType w:val="hybridMultilevel"/>
    <w:tmpl w:val="0F3EFC62"/>
    <w:lvl w:ilvl="0" w:tplc="DE502256">
      <w:numFmt w:val="bullet"/>
      <w:lvlText w:val="-"/>
      <w:lvlJc w:val="left"/>
      <w:pPr>
        <w:ind w:left="5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B2EE6C">
      <w:numFmt w:val="bullet"/>
      <w:lvlText w:val="•"/>
      <w:lvlJc w:val="left"/>
      <w:pPr>
        <w:ind w:left="1644" w:hanging="281"/>
      </w:pPr>
      <w:rPr>
        <w:rFonts w:hint="default"/>
        <w:lang w:val="ru-RU" w:eastAsia="ru-RU" w:bidi="ru-RU"/>
      </w:rPr>
    </w:lvl>
    <w:lvl w:ilvl="2" w:tplc="308E3090">
      <w:numFmt w:val="bullet"/>
      <w:lvlText w:val="•"/>
      <w:lvlJc w:val="left"/>
      <w:pPr>
        <w:ind w:left="2749" w:hanging="281"/>
      </w:pPr>
      <w:rPr>
        <w:rFonts w:hint="default"/>
        <w:lang w:val="ru-RU" w:eastAsia="ru-RU" w:bidi="ru-RU"/>
      </w:rPr>
    </w:lvl>
    <w:lvl w:ilvl="3" w:tplc="5D121664">
      <w:numFmt w:val="bullet"/>
      <w:lvlText w:val="•"/>
      <w:lvlJc w:val="left"/>
      <w:pPr>
        <w:ind w:left="3853" w:hanging="281"/>
      </w:pPr>
      <w:rPr>
        <w:rFonts w:hint="default"/>
        <w:lang w:val="ru-RU" w:eastAsia="ru-RU" w:bidi="ru-RU"/>
      </w:rPr>
    </w:lvl>
    <w:lvl w:ilvl="4" w:tplc="536CE3CA">
      <w:numFmt w:val="bullet"/>
      <w:lvlText w:val="•"/>
      <w:lvlJc w:val="left"/>
      <w:pPr>
        <w:ind w:left="4958" w:hanging="281"/>
      </w:pPr>
      <w:rPr>
        <w:rFonts w:hint="default"/>
        <w:lang w:val="ru-RU" w:eastAsia="ru-RU" w:bidi="ru-RU"/>
      </w:rPr>
    </w:lvl>
    <w:lvl w:ilvl="5" w:tplc="554002B2">
      <w:numFmt w:val="bullet"/>
      <w:lvlText w:val="•"/>
      <w:lvlJc w:val="left"/>
      <w:pPr>
        <w:ind w:left="6063" w:hanging="281"/>
      </w:pPr>
      <w:rPr>
        <w:rFonts w:hint="default"/>
        <w:lang w:val="ru-RU" w:eastAsia="ru-RU" w:bidi="ru-RU"/>
      </w:rPr>
    </w:lvl>
    <w:lvl w:ilvl="6" w:tplc="DAC4309C">
      <w:numFmt w:val="bullet"/>
      <w:lvlText w:val="•"/>
      <w:lvlJc w:val="left"/>
      <w:pPr>
        <w:ind w:left="7167" w:hanging="281"/>
      </w:pPr>
      <w:rPr>
        <w:rFonts w:hint="default"/>
        <w:lang w:val="ru-RU" w:eastAsia="ru-RU" w:bidi="ru-RU"/>
      </w:rPr>
    </w:lvl>
    <w:lvl w:ilvl="7" w:tplc="232A8B1A">
      <w:numFmt w:val="bullet"/>
      <w:lvlText w:val="•"/>
      <w:lvlJc w:val="left"/>
      <w:pPr>
        <w:ind w:left="8272" w:hanging="281"/>
      </w:pPr>
      <w:rPr>
        <w:rFonts w:hint="default"/>
        <w:lang w:val="ru-RU" w:eastAsia="ru-RU" w:bidi="ru-RU"/>
      </w:rPr>
    </w:lvl>
    <w:lvl w:ilvl="8" w:tplc="0C6E40AA">
      <w:numFmt w:val="bullet"/>
      <w:lvlText w:val="•"/>
      <w:lvlJc w:val="left"/>
      <w:pPr>
        <w:ind w:left="9377" w:hanging="281"/>
      </w:pPr>
      <w:rPr>
        <w:rFonts w:hint="default"/>
        <w:lang w:val="ru-RU" w:eastAsia="ru-RU" w:bidi="ru-RU"/>
      </w:rPr>
    </w:lvl>
  </w:abstractNum>
  <w:abstractNum w:abstractNumId="4">
    <w:nsid w:val="29740AA3"/>
    <w:multiLevelType w:val="hybridMultilevel"/>
    <w:tmpl w:val="77FA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60A8"/>
    <w:multiLevelType w:val="hybridMultilevel"/>
    <w:tmpl w:val="9DB47E44"/>
    <w:lvl w:ilvl="0" w:tplc="0000004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5570C5D"/>
    <w:multiLevelType w:val="hybridMultilevel"/>
    <w:tmpl w:val="352A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4FD0"/>
    <w:multiLevelType w:val="hybridMultilevel"/>
    <w:tmpl w:val="7146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72BC1"/>
    <w:multiLevelType w:val="hybridMultilevel"/>
    <w:tmpl w:val="D228E9F2"/>
    <w:lvl w:ilvl="0" w:tplc="0E30841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F21F7"/>
    <w:multiLevelType w:val="hybridMultilevel"/>
    <w:tmpl w:val="AB10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F5359"/>
    <w:multiLevelType w:val="hybridMultilevel"/>
    <w:tmpl w:val="E55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5575"/>
    <w:multiLevelType w:val="hybridMultilevel"/>
    <w:tmpl w:val="3CF28622"/>
    <w:lvl w:ilvl="0" w:tplc="4008F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B5466"/>
    <w:multiLevelType w:val="multilevel"/>
    <w:tmpl w:val="58F2D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4017E9"/>
    <w:multiLevelType w:val="hybridMultilevel"/>
    <w:tmpl w:val="E5C8BB5C"/>
    <w:lvl w:ilvl="0" w:tplc="6F62719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3561"/>
    <w:multiLevelType w:val="hybridMultilevel"/>
    <w:tmpl w:val="E8384928"/>
    <w:lvl w:ilvl="0" w:tplc="543E63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A5620"/>
    <w:multiLevelType w:val="hybridMultilevel"/>
    <w:tmpl w:val="B440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04644"/>
    <w:multiLevelType w:val="hybridMultilevel"/>
    <w:tmpl w:val="B38A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F48CA"/>
    <w:multiLevelType w:val="hybridMultilevel"/>
    <w:tmpl w:val="3D94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E35EE"/>
    <w:multiLevelType w:val="hybridMultilevel"/>
    <w:tmpl w:val="786E948C"/>
    <w:lvl w:ilvl="0" w:tplc="000000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35F0C8D"/>
    <w:multiLevelType w:val="hybridMultilevel"/>
    <w:tmpl w:val="7382A876"/>
    <w:lvl w:ilvl="0" w:tplc="B418697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50EDE"/>
    <w:multiLevelType w:val="hybridMultilevel"/>
    <w:tmpl w:val="56D6A744"/>
    <w:lvl w:ilvl="0" w:tplc="040C8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D4D7A"/>
    <w:multiLevelType w:val="hybridMultilevel"/>
    <w:tmpl w:val="215E7708"/>
    <w:lvl w:ilvl="0" w:tplc="CE7AC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03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E87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66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EE3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87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6D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02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4C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19"/>
  </w:num>
  <w:num w:numId="8">
    <w:abstractNumId w:val="5"/>
  </w:num>
  <w:num w:numId="9">
    <w:abstractNumId w:val="18"/>
  </w:num>
  <w:num w:numId="10">
    <w:abstractNumId w:val="15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6"/>
  </w:num>
  <w:num w:numId="16">
    <w:abstractNumId w:val="4"/>
  </w:num>
  <w:num w:numId="17">
    <w:abstractNumId w:val="12"/>
  </w:num>
  <w:num w:numId="18">
    <w:abstractNumId w:val="17"/>
  </w:num>
  <w:num w:numId="19">
    <w:abstractNumId w:val="16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816"/>
    <w:rsid w:val="00120816"/>
    <w:rsid w:val="003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8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208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20816"/>
    <w:rPr>
      <w:rFonts w:ascii="Verdana" w:hAnsi="Verdana" w:cs="Verdana"/>
      <w:color w:val="auto"/>
      <w:sz w:val="18"/>
      <w:szCs w:val="1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2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8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208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0816"/>
    <w:rPr>
      <w:sz w:val="16"/>
      <w:szCs w:val="16"/>
    </w:rPr>
  </w:style>
  <w:style w:type="paragraph" w:customStyle="1" w:styleId="Default">
    <w:name w:val="Default"/>
    <w:rsid w:val="0012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12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816"/>
  </w:style>
  <w:style w:type="paragraph" w:styleId="ac">
    <w:name w:val="footer"/>
    <w:basedOn w:val="a"/>
    <w:link w:val="ad"/>
    <w:uiPriority w:val="99"/>
    <w:unhideWhenUsed/>
    <w:rsid w:val="0012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816"/>
  </w:style>
  <w:style w:type="character" w:customStyle="1" w:styleId="10">
    <w:name w:val="Основной текст1"/>
    <w:basedOn w:val="a0"/>
    <w:rsid w:val="00120816"/>
    <w:rPr>
      <w:rFonts w:ascii="Times New Roman" w:eastAsia="Times New Roman" w:hAnsi="Times New Roman" w:cs="Times New Roman"/>
      <w:color w:val="000000"/>
      <w:spacing w:val="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rsid w:val="0012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2081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5764034350075204"/>
          <c:y val="0.11356363433294242"/>
          <c:w val="0.79937194743860895"/>
          <c:h val="0.783432195975501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1778559233493871"/>
                  <c:y val="7.34573209023719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естественнонаучного и технического творчества 10%;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1569044160742049"/>
                  <c:y val="4.45450300307553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социально-педагогической работы и туризма 28%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6800635357473548"/>
                  <c:y val="-0.321366439624495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декоративно-прикладного творчества 10%; </a:t>
                    </a:r>
                  </a:p>
                </c:rich>
              </c:tx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Отдел художественного творчества 23%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0.22202346065965037"/>
                  <c:y val="8.5206511762716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Отдел спортивно-оздоравительной работы 25%; 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Отдел естественнонаучного и технического творчества 10%</c:v>
                </c:pt>
                <c:pt idx="1">
                  <c:v>Отдел социально-педагогической работы и туризма 28%</c:v>
                </c:pt>
                <c:pt idx="2">
                  <c:v>Отдел декоративно-прикладного творчества 10%</c:v>
                </c:pt>
                <c:pt idx="3">
                  <c:v>Отдел художественного творчества 23%</c:v>
                </c:pt>
                <c:pt idx="4">
                  <c:v>Отдел спортивно-оздоравительной работы 25%</c:v>
                </c:pt>
                <c:pt idx="5">
                  <c:v>Отдел творческого развития дошкольников 4%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</c:v>
                </c:pt>
                <c:pt idx="1">
                  <c:v>0.28000000000000008</c:v>
                </c:pt>
                <c:pt idx="2">
                  <c:v>0.1</c:v>
                </c:pt>
                <c:pt idx="3">
                  <c:v>0.23</c:v>
                </c:pt>
                <c:pt idx="4">
                  <c:v>0.25</c:v>
                </c:pt>
                <c:pt idx="5">
                  <c:v>4.0000000000000022E-2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девочек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Художественного творчества</c:v>
                </c:pt>
                <c:pt idx="1">
                  <c:v>Спортивно-оздоровительной работы и туризма</c:v>
                </c:pt>
                <c:pt idx="2">
                  <c:v>Естественнонаучного и технического творчества</c:v>
                </c:pt>
                <c:pt idx="3">
                  <c:v>Социально-педагогической работы</c:v>
                </c:pt>
                <c:pt idx="4">
                  <c:v>Творческого развития дошкольников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782</c:v>
                </c:pt>
                <c:pt idx="1">
                  <c:v>350</c:v>
                </c:pt>
                <c:pt idx="2">
                  <c:v>517</c:v>
                </c:pt>
                <c:pt idx="3">
                  <c:v>593</c:v>
                </c:pt>
                <c:pt idx="4">
                  <c:v>210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мальчиков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Художественного творчества</c:v>
                </c:pt>
                <c:pt idx="1">
                  <c:v>Спортивно-оздоровительной работы и туризма</c:v>
                </c:pt>
                <c:pt idx="2">
                  <c:v>Естественнонаучного и технического творчества</c:v>
                </c:pt>
                <c:pt idx="3">
                  <c:v>Социально-педагогической работы</c:v>
                </c:pt>
                <c:pt idx="4">
                  <c:v>Творческого развития дошкольников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244</c:v>
                </c:pt>
                <c:pt idx="1">
                  <c:v>925</c:v>
                </c:pt>
                <c:pt idx="2">
                  <c:v>428</c:v>
                </c:pt>
                <c:pt idx="3">
                  <c:v>1123</c:v>
                </c:pt>
                <c:pt idx="4">
                  <c:v>219</c:v>
                </c:pt>
              </c:numCache>
            </c:numRef>
          </c:val>
        </c:ser>
        <c:axId val="193182720"/>
        <c:axId val="193999616"/>
      </c:barChart>
      <c:catAx>
        <c:axId val="193182720"/>
        <c:scaling>
          <c:orientation val="minMax"/>
        </c:scaling>
        <c:axPos val="b"/>
        <c:tickLblPos val="nextTo"/>
        <c:crossAx val="193999616"/>
        <c:crosses val="autoZero"/>
        <c:auto val="1"/>
        <c:lblAlgn val="ctr"/>
        <c:lblOffset val="100"/>
      </c:catAx>
      <c:valAx>
        <c:axId val="193999616"/>
        <c:scaling>
          <c:orientation val="minMax"/>
        </c:scaling>
        <c:axPos val="l"/>
        <c:majorGridlines/>
        <c:numFmt formatCode="General" sourceLinked="1"/>
        <c:tickLblPos val="nextTo"/>
        <c:crossAx val="19318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37192041197851E-2"/>
          <c:y val="2.8194885080478248E-2"/>
          <c:w val="0.77063332661528705"/>
          <c:h val="0.547934024104886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девочек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Художественного творчества</c:v>
                </c:pt>
                <c:pt idx="1">
                  <c:v>Спортивно-оздоровительной работы и туризма</c:v>
                </c:pt>
                <c:pt idx="2">
                  <c:v>Естественнонаучного и технического творчества</c:v>
                </c:pt>
                <c:pt idx="3">
                  <c:v>Социально-педагогической работы</c:v>
                </c:pt>
                <c:pt idx="4">
                  <c:v>Творческого развития дошкольников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0.76000000000000156</c:v>
                </c:pt>
                <c:pt idx="1">
                  <c:v>0.27</c:v>
                </c:pt>
                <c:pt idx="2">
                  <c:v>0.55000000000000004</c:v>
                </c:pt>
                <c:pt idx="3">
                  <c:v>0.35000000000000031</c:v>
                </c:pt>
                <c:pt idx="4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мальчиков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Художественного творчества</c:v>
                </c:pt>
                <c:pt idx="1">
                  <c:v>Спортивно-оздоровительной работы и туризма</c:v>
                </c:pt>
                <c:pt idx="2">
                  <c:v>Естественнонаучного и технического творчества</c:v>
                </c:pt>
                <c:pt idx="3">
                  <c:v>Социально-педагогической работы</c:v>
                </c:pt>
                <c:pt idx="4">
                  <c:v>Творческого развития дошкольников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0.24000000000000021</c:v>
                </c:pt>
                <c:pt idx="1">
                  <c:v>0.73000000000000065</c:v>
                </c:pt>
                <c:pt idx="2">
                  <c:v>0.45</c:v>
                </c:pt>
                <c:pt idx="3">
                  <c:v>0.6500000000000018</c:v>
                </c:pt>
                <c:pt idx="4">
                  <c:v>0.51</c:v>
                </c:pt>
              </c:numCache>
            </c:numRef>
          </c:val>
        </c:ser>
        <c:axId val="194469248"/>
        <c:axId val="194503808"/>
      </c:barChart>
      <c:catAx>
        <c:axId val="194469248"/>
        <c:scaling>
          <c:orientation val="minMax"/>
        </c:scaling>
        <c:axPos val="b"/>
        <c:tickLblPos val="nextTo"/>
        <c:crossAx val="194503808"/>
        <c:crosses val="autoZero"/>
        <c:auto val="1"/>
        <c:lblAlgn val="ctr"/>
        <c:lblOffset val="100"/>
      </c:catAx>
      <c:valAx>
        <c:axId val="194503808"/>
        <c:scaling>
          <c:orientation val="minMax"/>
        </c:scaling>
        <c:axPos val="l"/>
        <c:majorGridlines/>
        <c:numFmt formatCode="0%" sourceLinked="1"/>
        <c:tickLblPos val="nextTo"/>
        <c:crossAx val="194469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341848448484666E-2"/>
          <c:y val="0.11831046892334335"/>
          <c:w val="0.69347331583552052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учащихся по полу (в 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0.49000000000000032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367454068241686E-2"/>
          <c:y val="0.1184792931417924"/>
          <c:w val="0.52681248177311157"/>
          <c:h val="0.696883652902165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7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 - 201 чел.</c:v>
                </c:pt>
                <c:pt idx="1">
                  <c:v>5-9 лет - 2076 чел.</c:v>
                </c:pt>
                <c:pt idx="2">
                  <c:v>10-14 лет - 2110 чел.</c:v>
                </c:pt>
                <c:pt idx="3">
                  <c:v>15-17 лет - 928 чел.</c:v>
                </c:pt>
                <c:pt idx="4">
                  <c:v>18 лет и старше 35 чел.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201</c:v>
                </c:pt>
                <c:pt idx="1">
                  <c:v>2076</c:v>
                </c:pt>
                <c:pt idx="2">
                  <c:v>2110</c:v>
                </c:pt>
                <c:pt idx="3">
                  <c:v>928</c:v>
                </c:pt>
                <c:pt idx="4">
                  <c:v>35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Дети сироты</c:v>
                </c:pt>
                <c:pt idx="1">
                  <c:v>Дети оставшиеся без попечения </c:v>
                </c:pt>
                <c:pt idx="2">
                  <c:v>Дети с ОВЗ</c:v>
                </c:pt>
                <c:pt idx="3">
                  <c:v>Дети из неполных семей</c:v>
                </c:pt>
                <c:pt idx="4">
                  <c:v>Дети из многодетных семей</c:v>
                </c:pt>
                <c:pt idx="5">
                  <c:v>Дети стоящие на учете в ПДН</c:v>
                </c:pt>
                <c:pt idx="6">
                  <c:v>Дети из семей беженцев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10</c:v>
                </c:pt>
                <c:pt idx="2">
                  <c:v>187</c:v>
                </c:pt>
                <c:pt idx="3">
                  <c:v>419</c:v>
                </c:pt>
                <c:pt idx="4">
                  <c:v>133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Дети сироты</c:v>
                </c:pt>
                <c:pt idx="1">
                  <c:v>Дети оставшиеся без попечения </c:v>
                </c:pt>
                <c:pt idx="2">
                  <c:v>Дети с ОВЗ</c:v>
                </c:pt>
                <c:pt idx="3">
                  <c:v>Дети из неполных семей</c:v>
                </c:pt>
                <c:pt idx="4">
                  <c:v>Дети из многодетных семей</c:v>
                </c:pt>
                <c:pt idx="5">
                  <c:v>Дети стоящие на учете в ПДН</c:v>
                </c:pt>
                <c:pt idx="6">
                  <c:v>Дети из семей беженцев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247</c:v>
                </c:pt>
                <c:pt idx="3">
                  <c:v>122</c:v>
                </c:pt>
                <c:pt idx="4">
                  <c:v>24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axId val="220945792"/>
        <c:axId val="238347776"/>
      </c:barChart>
      <c:catAx>
        <c:axId val="220945792"/>
        <c:scaling>
          <c:orientation val="minMax"/>
        </c:scaling>
        <c:axPos val="b"/>
        <c:tickLblPos val="nextTo"/>
        <c:crossAx val="238347776"/>
        <c:crosses val="autoZero"/>
        <c:auto val="1"/>
        <c:lblAlgn val="ctr"/>
        <c:lblOffset val="100"/>
      </c:catAx>
      <c:valAx>
        <c:axId val="238347776"/>
        <c:scaling>
          <c:orientation val="minMax"/>
        </c:scaling>
        <c:axPos val="l"/>
        <c:majorGridlines/>
        <c:numFmt formatCode="General" sourceLinked="1"/>
        <c:tickLblPos val="nextTo"/>
        <c:crossAx val="220945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8235</Words>
  <Characters>46943</Characters>
  <Application>Microsoft Office Word</Application>
  <DocSecurity>0</DocSecurity>
  <Lines>391</Lines>
  <Paragraphs>110</Paragraphs>
  <ScaleCrop>false</ScaleCrop>
  <Company/>
  <LinksUpToDate>false</LinksUpToDate>
  <CharactersWithSpaces>55068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</cp:revision>
  <dcterms:created xsi:type="dcterms:W3CDTF">2018-05-11T13:25:00Z</dcterms:created>
  <dcterms:modified xsi:type="dcterms:W3CDTF">2018-05-11T13:32:00Z</dcterms:modified>
</cp:coreProperties>
</file>